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77DA7EEA" w:rsidR="007C75FD" w:rsidRDefault="00060507">
            <w:pPr>
              <w:pStyle w:val="TableParagraph"/>
              <w:rPr>
                <w:sz w:val="20"/>
              </w:rPr>
            </w:pPr>
            <w:r w:rsidRPr="00060507">
              <w:rPr>
                <w:sz w:val="20"/>
              </w:rPr>
              <w:t>TAC-09CHPB/NZBLN</w:t>
            </w:r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4609AA61" w:rsidR="007C75FD" w:rsidRDefault="00060507">
            <w:pPr>
              <w:pStyle w:val="TableParagraph"/>
              <w:rPr>
                <w:sz w:val="20"/>
              </w:rPr>
            </w:pPr>
            <w:r w:rsidRPr="00060507">
              <w:rPr>
                <w:sz w:val="20"/>
              </w:rPr>
              <w:t>6955324301330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7707D28C" w:rsidR="007C75FD" w:rsidRDefault="00060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060507">
              <w:rPr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79FDE49F" w:rsidR="007C75FD" w:rsidRDefault="00060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33EA9F9A" w:rsidR="007C75FD" w:rsidRDefault="0006050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TAK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229C4A20" w:rsidR="007C75FD" w:rsidRDefault="00060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2AE66C66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</w:t>
            </w:r>
            <w:r w:rsidR="00841F98">
              <w:rPr>
                <w:color w:val="FF0000"/>
                <w:sz w:val="20"/>
              </w:rPr>
              <w:t>5 ?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D"/>
    <w:rsid w:val="00060507"/>
    <w:rsid w:val="001A2B54"/>
    <w:rsid w:val="007C75FD"/>
    <w:rsid w:val="00841F98"/>
    <w:rsid w:val="008679BA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Adrianna Opałka</cp:lastModifiedBy>
  <cp:revision>2</cp:revision>
  <dcterms:created xsi:type="dcterms:W3CDTF">2021-07-07T10:57:00Z</dcterms:created>
  <dcterms:modified xsi:type="dcterms:W3CDTF">2021-07-07T10:57:00Z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