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97C" w:rsidRDefault="00732EA5">
      <w:pPr>
        <w:pStyle w:val="Standard"/>
        <w:jc w:val="center"/>
      </w:pPr>
      <w:r>
        <w:rPr>
          <w:rFonts w:ascii="Times New Roman" w:hAnsi="Times New Roman"/>
          <w:b/>
          <w:bCs/>
          <w:sz w:val="20"/>
          <w:szCs w:val="20"/>
        </w:rPr>
        <w:t xml:space="preserve">KARTA PRODUKTU / PRODUKT FICHE /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DATENBLATT /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>
        <w:rPr>
          <w:rStyle w:val="A3"/>
          <w:rFonts w:ascii="Times New Roman" w:hAnsi="Times New Roman"/>
          <w:sz w:val="20"/>
          <w:szCs w:val="20"/>
        </w:rPr>
        <w:t>INFORMAČNÍ LIST VÝROBKU</w:t>
      </w:r>
    </w:p>
    <w:p w:rsidR="0037797C" w:rsidRDefault="00732EA5">
      <w:pPr>
        <w:pStyle w:val="Standard"/>
        <w:jc w:val="center"/>
      </w:pPr>
      <w:proofErr w:type="spellStart"/>
      <w:r>
        <w:rPr>
          <w:b/>
          <w:bCs/>
          <w:sz w:val="20"/>
          <w:szCs w:val="20"/>
          <w:lang w:val="en-US"/>
        </w:rPr>
        <w:t>Okap</w:t>
      </w:r>
      <w:proofErr w:type="spellEnd"/>
      <w:r>
        <w:rPr>
          <w:b/>
          <w:bCs/>
          <w:sz w:val="20"/>
          <w:szCs w:val="20"/>
          <w:lang w:val="en-US"/>
        </w:rPr>
        <w:t xml:space="preserve"> </w:t>
      </w:r>
      <w:proofErr w:type="spellStart"/>
      <w:r>
        <w:rPr>
          <w:b/>
          <w:bCs/>
          <w:sz w:val="20"/>
          <w:szCs w:val="20"/>
          <w:lang w:val="en-US"/>
        </w:rPr>
        <w:t>nadkuchenny</w:t>
      </w:r>
      <w:proofErr w:type="spellEnd"/>
      <w:r>
        <w:rPr>
          <w:b/>
          <w:bCs/>
          <w:sz w:val="20"/>
          <w:szCs w:val="20"/>
          <w:lang w:val="en-US"/>
        </w:rPr>
        <w:t xml:space="preserve"> / Cooker hood  / </w:t>
      </w:r>
      <w:proofErr w:type="spellStart"/>
      <w:r>
        <w:rPr>
          <w:b/>
          <w:bCs/>
          <w:color w:val="282828"/>
          <w:sz w:val="20"/>
          <w:szCs w:val="20"/>
          <w:lang w:val="en-US"/>
        </w:rPr>
        <w:t>Dunstabzugshaube</w:t>
      </w:r>
      <w:proofErr w:type="spellEnd"/>
      <w:r>
        <w:rPr>
          <w:b/>
          <w:bCs/>
          <w:sz w:val="20"/>
          <w:szCs w:val="20"/>
          <w:lang w:val="en-US"/>
        </w:rPr>
        <w:t xml:space="preserve">  WK-4</w:t>
      </w:r>
    </w:p>
    <w:p w:rsidR="0037797C" w:rsidRDefault="00732EA5">
      <w:pPr>
        <w:pStyle w:val="Standard"/>
        <w:jc w:val="center"/>
      </w:pPr>
      <w:proofErr w:type="spellStart"/>
      <w:r>
        <w:rPr>
          <w:sz w:val="20"/>
          <w:szCs w:val="20"/>
          <w:lang w:val="en-US"/>
        </w:rPr>
        <w:t>Turbina</w:t>
      </w:r>
      <w:proofErr w:type="spellEnd"/>
      <w:r>
        <w:rPr>
          <w:sz w:val="20"/>
          <w:szCs w:val="20"/>
          <w:lang w:val="en-US"/>
        </w:rPr>
        <w:t xml:space="preserve"> / </w:t>
      </w:r>
      <w:proofErr w:type="spellStart"/>
      <w:r>
        <w:rPr>
          <w:sz w:val="20"/>
          <w:szCs w:val="20"/>
          <w:lang w:val="en-US"/>
        </w:rPr>
        <w:t>Motorgroup</w:t>
      </w:r>
      <w:proofErr w:type="spellEnd"/>
      <w:r>
        <w:rPr>
          <w:sz w:val="20"/>
          <w:szCs w:val="20"/>
          <w:lang w:val="en-US"/>
        </w:rPr>
        <w:t xml:space="preserve"> / Turbine:  450 m</w:t>
      </w:r>
      <w:r>
        <w:rPr>
          <w:sz w:val="20"/>
          <w:szCs w:val="20"/>
          <w:vertAlign w:val="superscript"/>
          <w:lang w:val="en-US"/>
        </w:rPr>
        <w:t>3</w:t>
      </w:r>
      <w:r>
        <w:rPr>
          <w:sz w:val="20"/>
          <w:szCs w:val="20"/>
          <w:lang w:val="en-US"/>
        </w:rPr>
        <w:t xml:space="preserve">/h; </w:t>
      </w:r>
      <w:proofErr w:type="spellStart"/>
      <w:r>
        <w:rPr>
          <w:sz w:val="20"/>
          <w:szCs w:val="20"/>
          <w:lang w:val="en-US"/>
        </w:rPr>
        <w:t>Oświetlenie</w:t>
      </w:r>
      <w:proofErr w:type="spellEnd"/>
      <w:r>
        <w:rPr>
          <w:sz w:val="20"/>
          <w:szCs w:val="20"/>
          <w:lang w:val="en-US"/>
        </w:rPr>
        <w:t xml:space="preserve"> /</w:t>
      </w:r>
      <w:r>
        <w:rPr>
          <w:sz w:val="20"/>
          <w:szCs w:val="20"/>
          <w:lang w:val="en-US"/>
        </w:rPr>
        <w:t xml:space="preserve"> Lighting / </w:t>
      </w:r>
      <w:proofErr w:type="spellStart"/>
      <w:r>
        <w:rPr>
          <w:sz w:val="20"/>
          <w:szCs w:val="20"/>
          <w:lang w:val="en-US"/>
        </w:rPr>
        <w:t>Beleuchtung</w:t>
      </w:r>
      <w:proofErr w:type="spellEnd"/>
      <w:r>
        <w:rPr>
          <w:sz w:val="20"/>
          <w:szCs w:val="20"/>
          <w:lang w:val="en-US"/>
        </w:rPr>
        <w:t>: 4x2W</w:t>
      </w:r>
    </w:p>
    <w:p w:rsidR="0037797C" w:rsidRDefault="00732EA5">
      <w:pPr>
        <w:pStyle w:val="Standard"/>
        <w:jc w:val="center"/>
      </w:pPr>
      <w:proofErr w:type="spellStart"/>
      <w:r>
        <w:rPr>
          <w:sz w:val="20"/>
          <w:szCs w:val="20"/>
          <w:lang w:val="en-US"/>
        </w:rPr>
        <w:t>Filtr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węglowy</w:t>
      </w:r>
      <w:proofErr w:type="spellEnd"/>
      <w:r>
        <w:rPr>
          <w:sz w:val="20"/>
          <w:szCs w:val="20"/>
          <w:lang w:val="en-US"/>
        </w:rPr>
        <w:t>/Charcoal filter/</w:t>
      </w:r>
      <w:proofErr w:type="spellStart"/>
      <w:r>
        <w:rPr>
          <w:sz w:val="20"/>
          <w:szCs w:val="20"/>
          <w:lang w:val="en-US"/>
        </w:rPr>
        <w:t>Kohlenstofffilter</w:t>
      </w:r>
      <w:proofErr w:type="spellEnd"/>
      <w:r>
        <w:rPr>
          <w:sz w:val="20"/>
          <w:szCs w:val="20"/>
          <w:lang w:val="en-US"/>
        </w:rPr>
        <w:t>: 2xSOFT</w:t>
      </w:r>
    </w:p>
    <w:tbl>
      <w:tblPr>
        <w:tblW w:w="102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91"/>
        <w:gridCol w:w="1360"/>
        <w:gridCol w:w="1133"/>
        <w:gridCol w:w="1021"/>
      </w:tblGrid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rPr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Oznaczenie</w:t>
            </w:r>
          </w:p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Symbol</w:t>
            </w:r>
          </w:p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color w:val="000000"/>
                <w:sz w:val="16"/>
                <w:szCs w:val="16"/>
              </w:rPr>
              <w:t>Bezeichnung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</w:t>
            </w:r>
          </w:p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Value</w:t>
            </w:r>
          </w:p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Wert</w:t>
            </w:r>
            <w:proofErr w:type="spellEnd"/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Jednostka</w:t>
            </w:r>
          </w:p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Unit</w:t>
            </w:r>
          </w:p>
          <w:p w:rsidR="0037797C" w:rsidRDefault="00732EA5">
            <w:pPr>
              <w:pStyle w:val="TableContents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Einheit</w:t>
            </w:r>
            <w:proofErr w:type="spellEnd"/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Identyfikator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modelu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 xml:space="preserve">Model / Modell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>Identifikátor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>modelu</w:t>
            </w:r>
            <w:proofErr w:type="spellEnd"/>
          </w:p>
        </w:tc>
        <w:tc>
          <w:tcPr>
            <w:tcW w:w="351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Standard"/>
              <w:jc w:val="center"/>
            </w:pPr>
            <w:r>
              <w:rPr>
                <w:rFonts w:ascii="LiberationSerif" w:hAnsi="LiberationSerif"/>
                <w:kern w:val="0"/>
                <w:sz w:val="20"/>
                <w:szCs w:val="20"/>
              </w:rPr>
              <w:t>WK-4 BALMERA WL T22/C04/L04/FI4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Roczne zużycie energii / </w:t>
            </w:r>
            <w:r>
              <w:rPr>
                <w:rStyle w:val="A4"/>
                <w:rFonts w:ascii="Times New Roman" w:eastAsia="Arial" w:hAnsi="Times New Roman" w:cs="Arial"/>
                <w:sz w:val="16"/>
                <w:szCs w:val="16"/>
              </w:rPr>
              <w:t xml:space="preserve">Energy </w:t>
            </w:r>
            <w:proofErr w:type="spellStart"/>
            <w:r>
              <w:rPr>
                <w:rStyle w:val="A4"/>
                <w:rFonts w:ascii="Times New Roman" w:eastAsia="Arial" w:hAnsi="Times New Roman" w:cs="Arial"/>
                <w:sz w:val="16"/>
                <w:szCs w:val="16"/>
              </w:rPr>
              <w:t>consumption</w:t>
            </w:r>
            <w:proofErr w:type="spellEnd"/>
            <w:r>
              <w:rPr>
                <w:rStyle w:val="A4"/>
                <w:rFonts w:ascii="Times New Roman" w:eastAsia="Arial" w:hAnsi="Times New Roman" w:cs="Arial"/>
                <w:sz w:val="16"/>
                <w:szCs w:val="16"/>
              </w:rPr>
              <w:t xml:space="preserve"> per </w:t>
            </w:r>
            <w:proofErr w:type="spellStart"/>
            <w:r>
              <w:rPr>
                <w:rStyle w:val="A4"/>
                <w:rFonts w:ascii="Times New Roman" w:eastAsia="Arial" w:hAnsi="Times New Roman" w:cs="Arial"/>
                <w:sz w:val="16"/>
                <w:szCs w:val="16"/>
              </w:rPr>
              <w:t>year</w:t>
            </w:r>
            <w:proofErr w:type="spellEnd"/>
            <w:r>
              <w:rPr>
                <w:rStyle w:val="A4"/>
                <w:rFonts w:ascii="Times New Roman" w:eastAsia="Arial" w:hAnsi="Times New Roman" w:cs="Arial"/>
                <w:sz w:val="16"/>
                <w:szCs w:val="16"/>
              </w:rPr>
              <w:t xml:space="preserve"> / Der </w:t>
            </w:r>
            <w:proofErr w:type="spellStart"/>
            <w:r>
              <w:rPr>
                <w:rStyle w:val="A4"/>
                <w:rFonts w:ascii="Times New Roman" w:eastAsia="Arial" w:hAnsi="Times New Roman" w:cs="Arial"/>
                <w:sz w:val="16"/>
                <w:szCs w:val="16"/>
              </w:rPr>
              <w:t>jahrliche</w:t>
            </w:r>
            <w:proofErr w:type="spellEnd"/>
            <w:r>
              <w:rPr>
                <w:rStyle w:val="A4"/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Energieverbrauch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Roční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spotřeba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energii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AEC</w:t>
            </w:r>
            <w:r>
              <w:rPr>
                <w:sz w:val="20"/>
                <w:szCs w:val="20"/>
                <w:vertAlign w:val="subscript"/>
              </w:rPr>
              <w:t>hood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t>58,3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kWh/r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Klasa efektywności energetycznej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Energy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Energieeffizienz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Třída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energetické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suppressAutoHyphens w:val="0"/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Wydajność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przepływu dynamicznego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Fluid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dynamic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Fluoddynamische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proudění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tekutin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FDE</w:t>
            </w:r>
            <w:r>
              <w:rPr>
                <w:sz w:val="20"/>
                <w:szCs w:val="20"/>
                <w:vertAlign w:val="subscript"/>
              </w:rPr>
              <w:t>hood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Klasa wydajności przepływu dynamicznego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Fluid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dynamic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Energieeffizienz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Fluiddynamik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Třída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proudění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tekutin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Sprawność oświetlenia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Light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Lichtausbeute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osvětlení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[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lux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>/W]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LE</w:t>
            </w:r>
            <w:r>
              <w:rPr>
                <w:sz w:val="20"/>
                <w:szCs w:val="20"/>
                <w:vertAlign w:val="subscript"/>
              </w:rPr>
              <w:t>hood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Klasa sprawności oświetlenia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Light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Klasse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Lichtausbeute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Třída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osvětlení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bookmarkStart w:id="0" w:name="_GoBack"/>
        <w:bookmarkEnd w:id="0"/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Efektywności pochłaniania zanieczyszczeń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Grease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filtering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Effizienz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Filtration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Fett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filtrace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tuků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GFE</w:t>
            </w:r>
            <w:r>
              <w:rPr>
                <w:sz w:val="20"/>
                <w:szCs w:val="20"/>
                <w:vertAlign w:val="subscript"/>
              </w:rPr>
              <w:t>hood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Klasa efektywności pochłaniania zanieczyszczeń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Grease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filtering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class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Energieeffizienz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Fett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Filtration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Třída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filtrace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tuků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>Mini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malne natężenie przepływu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powiertza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airflow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Luftstrom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</w:t>
            </w:r>
          </w:p>
          <w:p w:rsidR="0037797C" w:rsidRDefault="00732EA5">
            <w:pPr>
              <w:pStyle w:val="Standard"/>
              <w:autoSpaceDE w:val="0"/>
            </w:pP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Normalbertrleb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Intenzita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průtoku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vzduchu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min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min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132,8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Maksymalne natężenie przepływu powietrza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airflow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Luftstrom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</w:t>
            </w:r>
          </w:p>
          <w:p w:rsidR="0037797C" w:rsidRDefault="00732EA5">
            <w:pPr>
              <w:pStyle w:val="Standard"/>
              <w:autoSpaceDE w:val="0"/>
            </w:pP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Normalbertrleb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Intenzita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průtoku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vzduchu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max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max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451,3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Natężenie przepływu powietrza w trybie intensywnym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Boost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airflow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Luftstrom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Boost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Intenzita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průtoku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vzduchu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nastavení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intenzivního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režimu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/ turbo)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  <w:vertAlign w:val="subscript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Poziom hałasu przy minimalnej wydajności w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warunkach normalnego użytkowania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acustic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Schalleistung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normalen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Gebrauch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Úroveň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hluku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min.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výkonu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vertAlign w:val="subscript"/>
              </w:rPr>
              <w:t>WA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Poziom hałasu przy maksymalnej wydajności w warunkach normalnego użytkowania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acustic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Schallei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>stung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normalen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Gebrauch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Úroveň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hluku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max.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výkonu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vertAlign w:val="subscript"/>
              </w:rPr>
              <w:t>WA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Poziom hałasu w trybie intensywnym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Boost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acustic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Schalleistung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Boost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-Modus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Úroveň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hluku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min. / max.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výkonu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(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při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nastavení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intenzivního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režimu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/ turbo)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vertAlign w:val="subscript"/>
              </w:rPr>
              <w:t>WA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Pobór mocy mierzony w trybie wyłączenia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>Off-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consumption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Der</w:t>
            </w:r>
          </w:p>
          <w:p w:rsidR="0037797C" w:rsidRDefault="00732EA5">
            <w:pPr>
              <w:pStyle w:val="Standard"/>
              <w:autoSpaceDE w:val="0"/>
            </w:pP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Energieverbrauch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Aus-Zustand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7"/>
                <w:rFonts w:ascii="Times New Roman" w:hAnsi="Times New Roman"/>
                <w:sz w:val="16"/>
                <w:szCs w:val="16"/>
              </w:rPr>
              <w:t>Spotřeba</w:t>
            </w:r>
            <w:proofErr w:type="spellEnd"/>
            <w:r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/>
                <w:sz w:val="16"/>
                <w:szCs w:val="16"/>
              </w:rPr>
              <w:t>elektrické</w:t>
            </w:r>
            <w:proofErr w:type="spellEnd"/>
            <w:r>
              <w:rPr>
                <w:rStyle w:val="A7"/>
                <w:rFonts w:ascii="Times New Roman" w:hAnsi="Times New Roman"/>
                <w:sz w:val="16"/>
                <w:szCs w:val="16"/>
              </w:rPr>
              <w:t xml:space="preserve"> energie v </w:t>
            </w:r>
            <w:proofErr w:type="spellStart"/>
            <w:r>
              <w:rPr>
                <w:rStyle w:val="A7"/>
                <w:rFonts w:ascii="Times New Roman" w:hAnsi="Times New Roman"/>
                <w:sz w:val="16"/>
                <w:szCs w:val="16"/>
              </w:rPr>
              <w:t>režimu</w:t>
            </w:r>
            <w:proofErr w:type="spellEnd"/>
            <w:r>
              <w:rPr>
                <w:rStyle w:val="A7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7"/>
                <w:rFonts w:ascii="Times New Roman" w:hAnsi="Times New Roman"/>
                <w:sz w:val="16"/>
                <w:szCs w:val="16"/>
              </w:rPr>
              <w:t>vypnutí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o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Pobór mocy mierzony w trybie czuwania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Stand-by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consumption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Storomverbrauch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Standby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-Modus / </w:t>
            </w:r>
            <w:proofErr w:type="spellStart"/>
            <w:r>
              <w:rPr>
                <w:rStyle w:val="A11"/>
                <w:rFonts w:ascii="Times New Roman" w:hAnsi="Times New Roman"/>
                <w:sz w:val="16"/>
                <w:szCs w:val="16"/>
              </w:rPr>
              <w:t>Spotřeba</w:t>
            </w:r>
            <w:proofErr w:type="spellEnd"/>
            <w:r>
              <w:rPr>
                <w:rStyle w:val="A11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11"/>
                <w:rFonts w:ascii="Times New Roman" w:hAnsi="Times New Roman"/>
                <w:sz w:val="16"/>
                <w:szCs w:val="16"/>
              </w:rPr>
              <w:t>elektrické</w:t>
            </w:r>
            <w:proofErr w:type="spellEnd"/>
            <w:r>
              <w:rPr>
                <w:rStyle w:val="A11"/>
                <w:rFonts w:ascii="Times New Roman" w:hAnsi="Times New Roman"/>
                <w:sz w:val="16"/>
                <w:szCs w:val="16"/>
              </w:rPr>
              <w:t xml:space="preserve"> energie v </w:t>
            </w:r>
            <w:proofErr w:type="spellStart"/>
            <w:r>
              <w:rPr>
                <w:rStyle w:val="A11"/>
                <w:rFonts w:ascii="Times New Roman" w:hAnsi="Times New Roman"/>
                <w:sz w:val="16"/>
                <w:szCs w:val="16"/>
              </w:rPr>
              <w:t>režimu</w:t>
            </w:r>
            <w:proofErr w:type="spellEnd"/>
            <w:r>
              <w:rPr>
                <w:rStyle w:val="A11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11"/>
                <w:rFonts w:ascii="Times New Roman" w:hAnsi="Times New Roman"/>
                <w:sz w:val="16"/>
                <w:szCs w:val="16"/>
              </w:rPr>
              <w:t>pohotovosti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s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Współczynnik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upływu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/>
              </w:rPr>
              <w:t>czasu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/ </w:t>
            </w:r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 xml:space="preserve">Factor Increase in the time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>Faktor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>Zunahme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 xml:space="preserve"> der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>Zelt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  <w:lang w:val="en-US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>Součinitel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>uplynutí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  <w:lang w:val="en-US"/>
              </w:rPr>
              <w:t>času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Wskaźnik efektywności energetycznej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Energy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Index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Energieeffizienzindex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Ukazatel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energetické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EEI</w:t>
            </w:r>
            <w:r>
              <w:rPr>
                <w:sz w:val="20"/>
                <w:szCs w:val="20"/>
                <w:vertAlign w:val="subscript"/>
              </w:rPr>
              <w:t>hood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84,4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Natężenie przepływu powietrza mierzone w optymalnym punkcie pracy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Maximum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airflow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point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Luftstrom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dem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Punkt des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maximalen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Wirkungsgrades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Intenzita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průtoku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vzduchu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měřená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v bodu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nejvyšší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  <w:vertAlign w:val="subscript"/>
              </w:rPr>
              <w:t>BEP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248,9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>/h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Ciśnienie powietrza mierzone w optymalnym punkcie pracy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Maximum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pressure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point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Luftdruck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dem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Punkt des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maximalen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Wirkungsgrades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Tlak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vzduchu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měřený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v bodu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nejvyšší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  <w:vertAlign w:val="subscript"/>
              </w:rPr>
              <w:t>BEP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Pobór mocy mierzony w optymalnym punkcie pracy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Electrical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compsumtion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at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maximum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efficiency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Elektrische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Leistungsaufnahme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bei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maximaler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Effizienz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Příkon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měřený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v bodu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nejvyšší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účinnosti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vertAlign w:val="subscript"/>
              </w:rPr>
              <w:t>BEP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90,3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Moc nominalna systemu oświetlenia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Rated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lighting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system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Nenniestung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Beleuchtungssystem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Nominální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výkon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systému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osvětlení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  <w:vertAlign w:val="subscript"/>
              </w:rPr>
              <w:t>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Średnie natężenie oświetlenia zapewnianego przez system oświetlenia na powierzchni płyty grzejnej / </w:t>
            </w:r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A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verage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illuminance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on the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cooking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surface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Mittlere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Beleuchtungsstarke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auf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der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Kochflache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Střední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intenzita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osvětlení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zabezpečeného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systémem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osvětlení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na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povrchu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výhřevné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desky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proofErr w:type="spellStart"/>
            <w:r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  <w:vertAlign w:val="subscript"/>
              </w:rPr>
              <w:t>middle</w:t>
            </w:r>
            <w:proofErr w:type="spellEnd"/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lux</w:t>
            </w:r>
            <w:proofErr w:type="spellEnd"/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</w:pPr>
            <w:r>
              <w:rPr>
                <w:rFonts w:ascii="Times New Roman" w:hAnsi="Times New Roman"/>
                <w:sz w:val="16"/>
                <w:szCs w:val="16"/>
              </w:rPr>
              <w:t xml:space="preserve">Poziom mocy akustycznej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mode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acustic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power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Schalleistung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im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normalen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Arial"/>
                <w:sz w:val="16"/>
                <w:szCs w:val="16"/>
              </w:rPr>
              <w:t>Gebrauch</w:t>
            </w:r>
            <w:proofErr w:type="spellEnd"/>
            <w:r>
              <w:rPr>
                <w:rFonts w:ascii="Times New Roman" w:eastAsia="Arial" w:hAnsi="Times New Roman" w:cs="Arial"/>
                <w:sz w:val="16"/>
                <w:szCs w:val="16"/>
              </w:rPr>
              <w:t xml:space="preserve"> /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Hladina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akustického</w:t>
            </w:r>
            <w:proofErr w:type="spellEnd"/>
            <w:r>
              <w:rPr>
                <w:rStyle w:val="A4"/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Style w:val="A4"/>
                <w:rFonts w:ascii="Times New Roman" w:hAnsi="Times New Roman"/>
                <w:sz w:val="16"/>
                <w:szCs w:val="16"/>
              </w:rPr>
              <w:t>výkonu</w:t>
            </w:r>
            <w:proofErr w:type="spellEnd"/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</w:pPr>
            <w:r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  <w:vertAlign w:val="subscript"/>
              </w:rPr>
              <w:t>WA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dB</w:t>
            </w:r>
            <w:proofErr w:type="spellEnd"/>
          </w:p>
        </w:tc>
      </w:tr>
      <w:tr w:rsidR="0037797C">
        <w:tblPrEx>
          <w:tblCellMar>
            <w:top w:w="0" w:type="dxa"/>
            <w:bottom w:w="0" w:type="dxa"/>
          </w:tblCellMar>
        </w:tblPrEx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Miesięczny koszt zużycia energii przy 0,61 zł/kWh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37797C">
            <w:pPr>
              <w:pStyle w:val="TableContents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2,96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37797C" w:rsidRDefault="00732EA5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PLN</w:t>
            </w:r>
          </w:p>
        </w:tc>
      </w:tr>
    </w:tbl>
    <w:p w:rsidR="0037797C" w:rsidRDefault="0037797C">
      <w:pPr>
        <w:pStyle w:val="Standard"/>
        <w:jc w:val="both"/>
        <w:rPr>
          <w:sz w:val="18"/>
          <w:szCs w:val="18"/>
        </w:rPr>
      </w:pPr>
    </w:p>
    <w:p w:rsidR="0037797C" w:rsidRDefault="0037797C">
      <w:pPr>
        <w:pStyle w:val="Standard"/>
        <w:jc w:val="both"/>
        <w:rPr>
          <w:sz w:val="18"/>
          <w:szCs w:val="18"/>
        </w:rPr>
      </w:pPr>
    </w:p>
    <w:p w:rsidR="0037797C" w:rsidRDefault="00732EA5">
      <w:pPr>
        <w:pStyle w:val="Standarduser"/>
        <w:jc w:val="center"/>
      </w:pPr>
      <w:r>
        <w:rPr>
          <w:rFonts w:ascii="Times New Roman" w:hAnsi="Times New Roman" w:cs="Times New Roman"/>
          <w:sz w:val="20"/>
          <w:szCs w:val="20"/>
        </w:rPr>
        <w:lastRenderedPageBreak/>
        <w:t>*</w:t>
      </w:r>
      <w:bookmarkStart w:id="1" w:name="OLE_LINK1"/>
      <w:r>
        <w:rPr>
          <w:rFonts w:ascii="Times New Roman" w:hAnsi="Times New Roman" w:cs="Times New Roman"/>
          <w:sz w:val="20"/>
          <w:szCs w:val="20"/>
        </w:rPr>
        <w:t>**</w:t>
      </w:r>
    </w:p>
    <w:p w:rsidR="0037797C" w:rsidRDefault="00732EA5">
      <w:pPr>
        <w:pStyle w:val="Standarduser"/>
      </w:pPr>
      <w:r>
        <w:rPr>
          <w:rFonts w:ascii="Times New Roman" w:hAnsi="Times New Roman" w:cs="Times New Roman"/>
          <w:sz w:val="12"/>
          <w:szCs w:val="12"/>
        </w:rPr>
        <w:t>Wyniki ustalono zgodnie z metodami pomiaru i obliczeń według:</w:t>
      </w:r>
    </w:p>
    <w:p w:rsidR="0037797C" w:rsidRDefault="00732EA5">
      <w:pPr>
        <w:pStyle w:val="Standarduser"/>
        <w:ind w:left="720" w:hanging="360"/>
      </w:pPr>
      <w:r>
        <w:rPr>
          <w:rFonts w:ascii="Times New Roman" w:hAnsi="Times New Roman" w:cs="Times New Roman"/>
          <w:sz w:val="12"/>
          <w:szCs w:val="12"/>
        </w:rPr>
        <w:t xml:space="preserve">Dyrektywa </w:t>
      </w:r>
      <w:proofErr w:type="spellStart"/>
      <w:r>
        <w:rPr>
          <w:rFonts w:ascii="Times New Roman" w:hAnsi="Times New Roman" w:cs="Times New Roman"/>
          <w:sz w:val="12"/>
          <w:szCs w:val="12"/>
        </w:rPr>
        <w:t>PEiR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2010/30/UE; Rozporządzenie nr 65/2014,</w:t>
      </w:r>
    </w:p>
    <w:p w:rsidR="0037797C" w:rsidRDefault="00732EA5">
      <w:pPr>
        <w:pStyle w:val="Standarduser"/>
        <w:ind w:left="720" w:hanging="360"/>
      </w:pPr>
      <w:r>
        <w:rPr>
          <w:rFonts w:ascii="Times New Roman" w:hAnsi="Times New Roman" w:cs="Times New Roman"/>
          <w:sz w:val="12"/>
          <w:szCs w:val="12"/>
        </w:rPr>
        <w:t xml:space="preserve">Dyrektywa </w:t>
      </w:r>
      <w:proofErr w:type="spellStart"/>
      <w:r>
        <w:rPr>
          <w:rFonts w:ascii="Times New Roman" w:hAnsi="Times New Roman" w:cs="Times New Roman"/>
          <w:sz w:val="12"/>
          <w:szCs w:val="12"/>
        </w:rPr>
        <w:t>PEiR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2009/125/WE; Rozporządzenie nr 66/2014,</w:t>
      </w:r>
    </w:p>
    <w:p w:rsidR="0037797C" w:rsidRDefault="00732EA5">
      <w:pPr>
        <w:pStyle w:val="Standarduser"/>
        <w:ind w:left="720" w:hanging="360"/>
      </w:pPr>
      <w:r>
        <w:rPr>
          <w:rFonts w:ascii="Times New Roman" w:hAnsi="Times New Roman" w:cs="Times New Roman"/>
          <w:sz w:val="12"/>
          <w:szCs w:val="12"/>
        </w:rPr>
        <w:t>EN 50564 – Elektryczny sprzęt domowy – pomiar poboru mocy sprzętu w stanie gotowości do pracy.</w:t>
      </w:r>
    </w:p>
    <w:p w:rsidR="0037797C" w:rsidRDefault="00732EA5">
      <w:pPr>
        <w:pStyle w:val="Standarduser"/>
        <w:ind w:left="720" w:hanging="360"/>
      </w:pPr>
      <w:r>
        <w:rPr>
          <w:rFonts w:ascii="Times New Roman" w:hAnsi="Times New Roman" w:cs="Times New Roman"/>
          <w:sz w:val="12"/>
          <w:szCs w:val="12"/>
        </w:rPr>
        <w:t xml:space="preserve">EN 60704-2-13 – Elektryczne przyrządy do użytku domowego i podobnego – Procedura badania hałasu – Wymagania szczegółowe dla okapów </w:t>
      </w:r>
      <w:proofErr w:type="spellStart"/>
      <w:r>
        <w:rPr>
          <w:rFonts w:ascii="Times New Roman" w:hAnsi="Times New Roman" w:cs="Times New Roman"/>
          <w:sz w:val="12"/>
          <w:szCs w:val="12"/>
        </w:rPr>
        <w:t>nadkuchennych</w:t>
      </w:r>
      <w:proofErr w:type="spellEnd"/>
      <w:r>
        <w:rPr>
          <w:rFonts w:ascii="Times New Roman" w:hAnsi="Times New Roman" w:cs="Times New Roman"/>
          <w:sz w:val="12"/>
          <w:szCs w:val="12"/>
        </w:rPr>
        <w:t>.</w:t>
      </w:r>
    </w:p>
    <w:p w:rsidR="0037797C" w:rsidRDefault="00732EA5">
      <w:pPr>
        <w:pStyle w:val="Standarduser"/>
        <w:ind w:left="720" w:hanging="360"/>
      </w:pPr>
      <w:r>
        <w:rPr>
          <w:rFonts w:ascii="Times New Roman" w:hAnsi="Times New Roman" w:cs="Times New Roman"/>
          <w:sz w:val="12"/>
          <w:szCs w:val="12"/>
        </w:rPr>
        <w:t>EN 61591 – Domo</w:t>
      </w:r>
      <w:r>
        <w:rPr>
          <w:rFonts w:ascii="Times New Roman" w:hAnsi="Times New Roman" w:cs="Times New Roman"/>
          <w:sz w:val="12"/>
          <w:szCs w:val="12"/>
        </w:rPr>
        <w:t xml:space="preserve">we okapy </w:t>
      </w:r>
      <w:proofErr w:type="spellStart"/>
      <w:r>
        <w:rPr>
          <w:rFonts w:ascii="Times New Roman" w:hAnsi="Times New Roman" w:cs="Times New Roman"/>
          <w:sz w:val="12"/>
          <w:szCs w:val="12"/>
        </w:rPr>
        <w:t>nadkuchenne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i inne wyciągi oparów kuchennych – Metody badań cech funkcjonalnych.</w:t>
      </w:r>
    </w:p>
    <w:p w:rsidR="0037797C" w:rsidRDefault="00732EA5">
      <w:pPr>
        <w:pStyle w:val="Standarduser"/>
        <w:ind w:left="720" w:hanging="360"/>
      </w:pPr>
      <w:r>
        <w:rPr>
          <w:rFonts w:ascii="Times New Roman" w:hAnsi="Times New Roman" w:cs="Times New Roman"/>
          <w:sz w:val="12"/>
          <w:szCs w:val="12"/>
        </w:rPr>
        <w:t xml:space="preserve">EN 61591:1997+A1:2006+A2:2011+A11:2014+A12:2015 p.12 - Domowe okapy </w:t>
      </w:r>
      <w:proofErr w:type="spellStart"/>
      <w:r>
        <w:rPr>
          <w:rFonts w:ascii="Times New Roman" w:hAnsi="Times New Roman" w:cs="Times New Roman"/>
          <w:sz w:val="12"/>
          <w:szCs w:val="12"/>
        </w:rPr>
        <w:t>nadkuchenne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i inne wyciągi oparów kuchennych – Metody badań cech funkcjonalnych</w:t>
      </w:r>
    </w:p>
    <w:p w:rsidR="0037797C" w:rsidRDefault="00732EA5">
      <w:pPr>
        <w:pStyle w:val="Standarduser"/>
      </w:pPr>
      <w:r>
        <w:rPr>
          <w:rFonts w:ascii="Times New Roman" w:hAnsi="Times New Roman" w:cs="Times New Roman"/>
          <w:sz w:val="12"/>
          <w:szCs w:val="12"/>
        </w:rPr>
        <w:t>Aby zmniejszyć wpł</w:t>
      </w:r>
      <w:r>
        <w:rPr>
          <w:rFonts w:ascii="Times New Roman" w:hAnsi="Times New Roman" w:cs="Times New Roman"/>
          <w:sz w:val="12"/>
          <w:szCs w:val="12"/>
        </w:rPr>
        <w:t>yw użytkowania okapu na środowisko należy: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 xml:space="preserve"> • używać maksymalnych prędkości silnika tylko przy intensywnym gotowaniu,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 xml:space="preserve"> • po zakończeniu gotowania wyłączyć silnik,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 xml:space="preserve"> • po zakończeniu użytkowania okapu wyłączyć oświetlenie.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>Pomiaru danych zawartych w karcie p</w:t>
      </w:r>
      <w:r>
        <w:rPr>
          <w:rFonts w:ascii="Times New Roman" w:hAnsi="Times New Roman" w:cs="Times New Roman"/>
          <w:sz w:val="12"/>
          <w:szCs w:val="12"/>
        </w:rPr>
        <w:t>roduktu dokonano w położeniu roboczym okapu na stanowiskach pomiarowych: pomiarowe: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 xml:space="preserve">- POMIARY I OBLICZENIA EFEKTYWNOŚCI: Producent: TRE P ENGINEERING Typ: </w:t>
      </w:r>
      <w:proofErr w:type="spellStart"/>
      <w:r>
        <w:rPr>
          <w:rFonts w:ascii="Times New Roman" w:hAnsi="Times New Roman" w:cs="Times New Roman"/>
          <w:sz w:val="12"/>
          <w:szCs w:val="12"/>
        </w:rPr>
        <w:t>AirFlow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TB Numer: BP 067.2020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>- POMIARY SPRAWNOŚCI OŚWIETLENIA: Luksomierz L-100 z zewnętrzną głowicą</w:t>
      </w:r>
      <w:r>
        <w:rPr>
          <w:rFonts w:ascii="Times New Roman" w:hAnsi="Times New Roman" w:cs="Times New Roman"/>
          <w:sz w:val="12"/>
          <w:szCs w:val="12"/>
        </w:rPr>
        <w:t xml:space="preserve"> pomiarową G.L-100 firmy SONOPAN Nr 741/2014 RP T 196, Miernik mocy typ HM8115-2 produkcji HAMEG INSTRUMENTS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>- POMIARY MOCY AKUSTYCZNEJ: Miernik poziomu dźwięku Typ: DSA-50 Producent: SONOPAN Sp. z o.o. Numer seryjny: 553/2019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 xml:space="preserve"> Multiplekser Typ: MPL-19 Pro</w:t>
      </w:r>
      <w:r>
        <w:rPr>
          <w:rFonts w:ascii="Times New Roman" w:hAnsi="Times New Roman" w:cs="Times New Roman"/>
          <w:sz w:val="12"/>
          <w:szCs w:val="12"/>
        </w:rPr>
        <w:t>ducent: SONOPAN Sp. z o.o. Numer seryjny: 11/2019 Kalibrator akustyczny: Typ: KA-50 Producent: SONOPAN Sp. z o.o. Numer seryjny: 585/2019</w:t>
      </w:r>
      <w:r>
        <w:rPr>
          <w:rFonts w:ascii="Times New Roman" w:hAnsi="Times New Roman" w:cs="Times New Roman"/>
          <w:sz w:val="12"/>
          <w:szCs w:val="12"/>
        </w:rPr>
        <w:br/>
      </w:r>
      <w:r>
        <w:rPr>
          <w:rFonts w:ascii="Times New Roman" w:hAnsi="Times New Roman" w:cs="Times New Roman"/>
          <w:sz w:val="12"/>
          <w:szCs w:val="12"/>
        </w:rPr>
        <w:t>- POMIARY EFEKTYWNOŚCI POCHŁANIANIA ZANIECZYSZCZEŃ: Producent: TRE P ENGINEERING Typ: B.GRASSI Numer: BAG 060.2018</w:t>
      </w:r>
    </w:p>
    <w:p w:rsidR="0037797C" w:rsidRDefault="0037797C">
      <w:pPr>
        <w:pStyle w:val="Standarduser"/>
        <w:rPr>
          <w:rFonts w:ascii="Times New Roman" w:hAnsi="Times New Roman" w:cs="Tahoma"/>
          <w:sz w:val="12"/>
          <w:szCs w:val="12"/>
        </w:rPr>
      </w:pPr>
    </w:p>
    <w:p w:rsidR="0037797C" w:rsidRDefault="00732EA5">
      <w:pPr>
        <w:pStyle w:val="Standard"/>
        <w:ind w:left="280" w:hanging="280"/>
        <w:jc w:val="center"/>
      </w:pPr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**</w:t>
      </w:r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*</w:t>
      </w:r>
    </w:p>
    <w:p w:rsidR="0037797C" w:rsidRDefault="00732EA5">
      <w:pPr>
        <w:pStyle w:val="Standard"/>
      </w:pPr>
      <w:r>
        <w:rPr>
          <w:rFonts w:ascii="Times New Roman" w:hAnsi="Times New Roman" w:cs="Times New Roman"/>
          <w:sz w:val="12"/>
          <w:szCs w:val="12"/>
          <w:lang w:val="en-US"/>
        </w:rPr>
        <w:t xml:space="preserve">To determine the results, and in accordance with the requirements in </w:t>
      </w:r>
      <w:proofErr w:type="spellStart"/>
      <w:r>
        <w:rPr>
          <w:rFonts w:ascii="Times New Roman" w:hAnsi="Times New Roman" w:cs="Times New Roman"/>
          <w:sz w:val="12"/>
          <w:szCs w:val="12"/>
          <w:lang w:val="en-US"/>
        </w:rPr>
        <w:t>ralation</w:t>
      </w:r>
      <w:proofErr w:type="spellEnd"/>
      <w:r>
        <w:rPr>
          <w:rFonts w:ascii="Times New Roman" w:hAnsi="Times New Roman" w:cs="Times New Roman"/>
          <w:sz w:val="12"/>
          <w:szCs w:val="12"/>
          <w:lang w:val="en-US"/>
        </w:rPr>
        <w:t xml:space="preserve"> to the requirements in relation to the labeling of </w:t>
      </w:r>
      <w:proofErr w:type="spellStart"/>
      <w:r>
        <w:rPr>
          <w:rFonts w:ascii="Times New Roman" w:hAnsi="Times New Roman" w:cs="Times New Roman"/>
          <w:sz w:val="12"/>
          <w:szCs w:val="12"/>
          <w:lang w:val="en-US"/>
        </w:rPr>
        <w:t>energyrelated</w:t>
      </w:r>
      <w:proofErr w:type="spellEnd"/>
      <w:r>
        <w:rPr>
          <w:rFonts w:ascii="Times New Roman" w:hAnsi="Times New Roman" w:cs="Times New Roman"/>
          <w:sz w:val="12"/>
          <w:szCs w:val="12"/>
          <w:lang w:val="en-US"/>
        </w:rPr>
        <w:t xml:space="preserve"> products and with regard to </w:t>
      </w:r>
      <w:proofErr w:type="spellStart"/>
      <w:r>
        <w:rPr>
          <w:rFonts w:ascii="Times New Roman" w:hAnsi="Times New Roman" w:cs="Times New Roman"/>
          <w:sz w:val="12"/>
          <w:szCs w:val="12"/>
          <w:lang w:val="en-US"/>
        </w:rPr>
        <w:t>ecodesign</w:t>
      </w:r>
      <w:proofErr w:type="spellEnd"/>
      <w:r>
        <w:rPr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  <w:lang w:val="en-US"/>
        </w:rPr>
        <w:t>requiremants</w:t>
      </w:r>
      <w:proofErr w:type="spellEnd"/>
      <w:r>
        <w:rPr>
          <w:rFonts w:ascii="Times New Roman" w:hAnsi="Times New Roman" w:cs="Times New Roman"/>
          <w:sz w:val="12"/>
          <w:szCs w:val="12"/>
          <w:lang w:val="en-US"/>
        </w:rPr>
        <w:t>, the following calculation and measurement methods were appl</w:t>
      </w:r>
      <w:r>
        <w:rPr>
          <w:rFonts w:ascii="Times New Roman" w:hAnsi="Times New Roman" w:cs="Times New Roman"/>
          <w:sz w:val="12"/>
          <w:szCs w:val="12"/>
          <w:lang w:val="en-US"/>
        </w:rPr>
        <w:t>ied:</w:t>
      </w:r>
    </w:p>
    <w:p w:rsidR="0037797C" w:rsidRDefault="00732EA5">
      <w:pPr>
        <w:pStyle w:val="Standard"/>
        <w:numPr>
          <w:ilvl w:val="0"/>
          <w:numId w:val="8"/>
        </w:numPr>
      </w:pPr>
      <w:r>
        <w:rPr>
          <w:rFonts w:ascii="Times New Roman" w:hAnsi="Times New Roman" w:cs="Times New Roman"/>
          <w:sz w:val="12"/>
          <w:szCs w:val="12"/>
          <w:lang w:val="en-US"/>
        </w:rPr>
        <w:t>Directive of the European Parliament and of the Council 2010/30/EU; Regulation No 65/2014</w:t>
      </w:r>
    </w:p>
    <w:p w:rsidR="0037797C" w:rsidRDefault="00732EA5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sz w:val="12"/>
          <w:szCs w:val="12"/>
          <w:lang w:val="en-US"/>
        </w:rPr>
        <w:t>Directive of the European Parliament and of the Council 2009/125/EC; Regulation No 66/2014</w:t>
      </w:r>
    </w:p>
    <w:p w:rsidR="0037797C" w:rsidRDefault="00732EA5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sz w:val="12"/>
          <w:szCs w:val="12"/>
          <w:lang w:val="en-US"/>
        </w:rPr>
        <w:t xml:space="preserve">EN 50564 Electrical and electronic household and office equipment. </w:t>
      </w:r>
      <w:proofErr w:type="spellStart"/>
      <w:r>
        <w:rPr>
          <w:rFonts w:ascii="Times New Roman" w:hAnsi="Times New Roman" w:cs="Times New Roman"/>
          <w:sz w:val="12"/>
          <w:szCs w:val="12"/>
        </w:rPr>
        <w:t>Mea</w:t>
      </w:r>
      <w:r>
        <w:rPr>
          <w:rFonts w:ascii="Times New Roman" w:hAnsi="Times New Roman" w:cs="Times New Roman"/>
          <w:sz w:val="12"/>
          <w:szCs w:val="12"/>
        </w:rPr>
        <w:t>surement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of </w:t>
      </w:r>
      <w:proofErr w:type="spellStart"/>
      <w:r>
        <w:rPr>
          <w:rFonts w:ascii="Times New Roman" w:hAnsi="Times New Roman" w:cs="Times New Roman"/>
          <w:sz w:val="12"/>
          <w:szCs w:val="12"/>
        </w:rPr>
        <w:t>low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power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consumption</w:t>
      </w:r>
      <w:proofErr w:type="spellEnd"/>
    </w:p>
    <w:p w:rsidR="0037797C" w:rsidRDefault="00732EA5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sz w:val="12"/>
          <w:szCs w:val="12"/>
          <w:lang w:val="en-US"/>
        </w:rPr>
        <w:t xml:space="preserve">EN 60704-2-13 Household and similar electrical appliances. Test code for the determination of </w:t>
      </w:r>
      <w:proofErr w:type="spellStart"/>
      <w:r>
        <w:rPr>
          <w:rFonts w:ascii="Times New Roman" w:hAnsi="Times New Roman" w:cs="Times New Roman"/>
          <w:sz w:val="12"/>
          <w:szCs w:val="12"/>
          <w:lang w:val="en-US"/>
        </w:rPr>
        <w:t>airbome</w:t>
      </w:r>
      <w:proofErr w:type="spellEnd"/>
      <w:r>
        <w:rPr>
          <w:rFonts w:ascii="Times New Roman" w:hAnsi="Times New Roman" w:cs="Times New Roman"/>
          <w:sz w:val="12"/>
          <w:szCs w:val="12"/>
          <w:lang w:val="en-US"/>
        </w:rPr>
        <w:t xml:space="preserve"> acoustical noise. </w:t>
      </w:r>
      <w:proofErr w:type="spellStart"/>
      <w:r>
        <w:rPr>
          <w:rFonts w:ascii="Times New Roman" w:hAnsi="Times New Roman" w:cs="Times New Roman"/>
          <w:sz w:val="12"/>
          <w:szCs w:val="12"/>
        </w:rPr>
        <w:t>Particular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requirements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for </w:t>
      </w:r>
      <w:proofErr w:type="spellStart"/>
      <w:r>
        <w:rPr>
          <w:rFonts w:ascii="Times New Roman" w:hAnsi="Times New Roman" w:cs="Times New Roman"/>
          <w:sz w:val="12"/>
          <w:szCs w:val="12"/>
        </w:rPr>
        <w:t>range</w:t>
      </w:r>
      <w:proofErr w:type="spellEnd"/>
      <w:r>
        <w:rPr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 w:cs="Times New Roman"/>
          <w:sz w:val="12"/>
          <w:szCs w:val="12"/>
        </w:rPr>
        <w:t>hoods</w:t>
      </w:r>
      <w:proofErr w:type="spellEnd"/>
      <w:r>
        <w:rPr>
          <w:rFonts w:ascii="Times New Roman" w:hAnsi="Times New Roman" w:cs="Times New Roman"/>
          <w:sz w:val="12"/>
          <w:szCs w:val="12"/>
        </w:rPr>
        <w:t>.</w:t>
      </w:r>
    </w:p>
    <w:p w:rsidR="0037797C" w:rsidRDefault="00732EA5">
      <w:pPr>
        <w:pStyle w:val="Standard"/>
        <w:numPr>
          <w:ilvl w:val="0"/>
          <w:numId w:val="3"/>
        </w:numPr>
      </w:pPr>
      <w:r>
        <w:rPr>
          <w:rFonts w:ascii="Times New Roman" w:hAnsi="Times New Roman" w:cs="Times New Roman"/>
          <w:sz w:val="12"/>
          <w:szCs w:val="12"/>
          <w:lang w:val="en-US"/>
        </w:rPr>
        <w:t>EN 61591 – Household range hoods and other cooking fume extra</w:t>
      </w:r>
      <w:r>
        <w:rPr>
          <w:rFonts w:ascii="Times New Roman" w:hAnsi="Times New Roman" w:cs="Times New Roman"/>
          <w:sz w:val="12"/>
          <w:szCs w:val="12"/>
          <w:lang w:val="en-US"/>
        </w:rPr>
        <w:t>ctors – Method for measuring performance</w:t>
      </w:r>
    </w:p>
    <w:p w:rsidR="0037797C" w:rsidRDefault="00732EA5">
      <w:pPr>
        <w:pStyle w:val="Standarduser"/>
        <w:numPr>
          <w:ilvl w:val="0"/>
          <w:numId w:val="3"/>
        </w:numPr>
      </w:pPr>
      <w:r>
        <w:rPr>
          <w:rFonts w:ascii="Times New Roman" w:hAnsi="Times New Roman" w:cs="Times New Roman"/>
          <w:sz w:val="12"/>
          <w:szCs w:val="12"/>
          <w:lang w:val="en-US"/>
        </w:rPr>
        <w:t>EN 61591:1997+A1:2006+A2:2011+A11:2014+A12:2015 p.12 - Household range hoods and other cooking fume extractors – Method for measuring performance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To </w:t>
      </w:r>
      <w:proofErr w:type="spellStart"/>
      <w:r>
        <w:rPr>
          <w:rFonts w:ascii="Times New Roman" w:hAnsi="Times New Roman"/>
          <w:sz w:val="12"/>
          <w:szCs w:val="12"/>
        </w:rPr>
        <w:t>reduce</w:t>
      </w:r>
      <w:proofErr w:type="spellEnd"/>
      <w:r>
        <w:rPr>
          <w:rFonts w:ascii="Times New Roman" w:hAnsi="Times New Roman"/>
          <w:sz w:val="12"/>
          <w:szCs w:val="12"/>
        </w:rPr>
        <w:t xml:space="preserve"> the </w:t>
      </w:r>
      <w:proofErr w:type="spellStart"/>
      <w:r>
        <w:rPr>
          <w:rFonts w:ascii="Times New Roman" w:hAnsi="Times New Roman"/>
          <w:sz w:val="12"/>
          <w:szCs w:val="12"/>
        </w:rPr>
        <w:t>impact</w:t>
      </w:r>
      <w:proofErr w:type="spellEnd"/>
      <w:r>
        <w:rPr>
          <w:rFonts w:ascii="Times New Roman" w:hAnsi="Times New Roman"/>
          <w:sz w:val="12"/>
          <w:szCs w:val="12"/>
        </w:rPr>
        <w:t xml:space="preserve"> of the </w:t>
      </w:r>
      <w:proofErr w:type="spellStart"/>
      <w:r>
        <w:rPr>
          <w:rFonts w:ascii="Times New Roman" w:hAnsi="Times New Roman"/>
          <w:sz w:val="12"/>
          <w:szCs w:val="12"/>
        </w:rPr>
        <w:t>kitchen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hood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operation</w:t>
      </w:r>
      <w:proofErr w:type="spellEnd"/>
      <w:r>
        <w:rPr>
          <w:rFonts w:ascii="Times New Roman" w:hAnsi="Times New Roman"/>
          <w:sz w:val="12"/>
          <w:szCs w:val="12"/>
        </w:rPr>
        <w:t xml:space="preserve"> on the environment</w:t>
      </w:r>
      <w:r>
        <w:rPr>
          <w:rFonts w:ascii="Times New Roman" w:hAnsi="Times New Roman"/>
          <w:sz w:val="12"/>
          <w:szCs w:val="12"/>
        </w:rPr>
        <w:t xml:space="preserve">, </w:t>
      </w:r>
      <w:proofErr w:type="spellStart"/>
      <w:r>
        <w:rPr>
          <w:rFonts w:ascii="Times New Roman" w:hAnsi="Times New Roman"/>
          <w:sz w:val="12"/>
          <w:szCs w:val="12"/>
        </w:rPr>
        <w:t>observe</w:t>
      </w:r>
      <w:proofErr w:type="spellEnd"/>
      <w:r>
        <w:rPr>
          <w:rFonts w:ascii="Times New Roman" w:hAnsi="Times New Roman"/>
          <w:sz w:val="12"/>
          <w:szCs w:val="12"/>
        </w:rPr>
        <w:t xml:space="preserve"> the </w:t>
      </w:r>
      <w:proofErr w:type="spellStart"/>
      <w:r>
        <w:rPr>
          <w:rFonts w:ascii="Times New Roman" w:hAnsi="Times New Roman"/>
          <w:sz w:val="12"/>
          <w:szCs w:val="12"/>
        </w:rPr>
        <w:t>following</w:t>
      </w:r>
      <w:proofErr w:type="spellEnd"/>
      <w:r>
        <w:rPr>
          <w:rFonts w:ascii="Times New Roman" w:hAnsi="Times New Roman"/>
          <w:sz w:val="12"/>
          <w:szCs w:val="12"/>
        </w:rPr>
        <w:t>: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• </w:t>
      </w:r>
      <w:proofErr w:type="spellStart"/>
      <w:r>
        <w:rPr>
          <w:rFonts w:ascii="Times New Roman" w:hAnsi="Times New Roman"/>
          <w:sz w:val="12"/>
          <w:szCs w:val="12"/>
        </w:rPr>
        <w:t>use</w:t>
      </w:r>
      <w:proofErr w:type="spellEnd"/>
      <w:r>
        <w:rPr>
          <w:rFonts w:ascii="Times New Roman" w:hAnsi="Times New Roman"/>
          <w:sz w:val="12"/>
          <w:szCs w:val="12"/>
        </w:rPr>
        <w:t xml:space="preserve"> maximum motor </w:t>
      </w:r>
      <w:proofErr w:type="spellStart"/>
      <w:r>
        <w:rPr>
          <w:rFonts w:ascii="Times New Roman" w:hAnsi="Times New Roman"/>
          <w:sz w:val="12"/>
          <w:szCs w:val="12"/>
        </w:rPr>
        <w:t>speed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only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when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cooking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intensively</w:t>
      </w:r>
      <w:proofErr w:type="spellEnd"/>
      <w:r>
        <w:rPr>
          <w:rFonts w:ascii="Times New Roman" w:hAnsi="Times New Roman"/>
          <w:sz w:val="12"/>
          <w:szCs w:val="12"/>
        </w:rPr>
        <w:t>,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• </w:t>
      </w:r>
      <w:proofErr w:type="spellStart"/>
      <w:r>
        <w:rPr>
          <w:rFonts w:ascii="Times New Roman" w:hAnsi="Times New Roman"/>
          <w:sz w:val="12"/>
          <w:szCs w:val="12"/>
        </w:rPr>
        <w:t>after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finishing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cooking</w:t>
      </w:r>
      <w:proofErr w:type="spellEnd"/>
      <w:r>
        <w:rPr>
          <w:rFonts w:ascii="Times New Roman" w:hAnsi="Times New Roman"/>
          <w:sz w:val="12"/>
          <w:szCs w:val="12"/>
        </w:rPr>
        <w:t xml:space="preserve">, </w:t>
      </w:r>
      <w:proofErr w:type="spellStart"/>
      <w:r>
        <w:rPr>
          <w:rFonts w:ascii="Times New Roman" w:hAnsi="Times New Roman"/>
          <w:sz w:val="12"/>
          <w:szCs w:val="12"/>
        </w:rPr>
        <w:t>turn</w:t>
      </w:r>
      <w:proofErr w:type="spellEnd"/>
      <w:r>
        <w:rPr>
          <w:rFonts w:ascii="Times New Roman" w:hAnsi="Times New Roman"/>
          <w:sz w:val="12"/>
          <w:szCs w:val="12"/>
        </w:rPr>
        <w:t xml:space="preserve"> off the motor,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• </w:t>
      </w:r>
      <w:proofErr w:type="spellStart"/>
      <w:r>
        <w:rPr>
          <w:rFonts w:ascii="Times New Roman" w:hAnsi="Times New Roman"/>
          <w:sz w:val="12"/>
          <w:szCs w:val="12"/>
        </w:rPr>
        <w:t>after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finishing</w:t>
      </w:r>
      <w:proofErr w:type="spellEnd"/>
      <w:r>
        <w:rPr>
          <w:rFonts w:ascii="Times New Roman" w:hAnsi="Times New Roman"/>
          <w:sz w:val="12"/>
          <w:szCs w:val="12"/>
        </w:rPr>
        <w:t xml:space="preserve"> the </w:t>
      </w:r>
      <w:proofErr w:type="spellStart"/>
      <w:r>
        <w:rPr>
          <w:rFonts w:ascii="Times New Roman" w:hAnsi="Times New Roman"/>
          <w:sz w:val="12"/>
          <w:szCs w:val="12"/>
        </w:rPr>
        <w:t>kitchen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hood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operation</w:t>
      </w:r>
      <w:proofErr w:type="spellEnd"/>
      <w:r>
        <w:rPr>
          <w:rFonts w:ascii="Times New Roman" w:hAnsi="Times New Roman"/>
          <w:sz w:val="12"/>
          <w:szCs w:val="12"/>
        </w:rPr>
        <w:t xml:space="preserve">, </w:t>
      </w:r>
      <w:proofErr w:type="spellStart"/>
      <w:r>
        <w:rPr>
          <w:rFonts w:ascii="Times New Roman" w:hAnsi="Times New Roman"/>
          <w:sz w:val="12"/>
          <w:szCs w:val="12"/>
        </w:rPr>
        <w:t>turn</w:t>
      </w:r>
      <w:proofErr w:type="spellEnd"/>
      <w:r>
        <w:rPr>
          <w:rFonts w:ascii="Times New Roman" w:hAnsi="Times New Roman"/>
          <w:sz w:val="12"/>
          <w:szCs w:val="12"/>
        </w:rPr>
        <w:t xml:space="preserve"> off the </w:t>
      </w:r>
      <w:proofErr w:type="spellStart"/>
      <w:r>
        <w:rPr>
          <w:rFonts w:ascii="Times New Roman" w:hAnsi="Times New Roman"/>
          <w:sz w:val="12"/>
          <w:szCs w:val="12"/>
        </w:rPr>
        <w:t>lighting</w:t>
      </w:r>
      <w:proofErr w:type="spellEnd"/>
      <w:r>
        <w:rPr>
          <w:rFonts w:ascii="Times New Roman" w:hAnsi="Times New Roman"/>
          <w:sz w:val="12"/>
          <w:szCs w:val="12"/>
        </w:rPr>
        <w:t>.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The </w:t>
      </w:r>
      <w:proofErr w:type="spellStart"/>
      <w:r>
        <w:rPr>
          <w:rFonts w:ascii="Times New Roman" w:hAnsi="Times New Roman"/>
          <w:sz w:val="12"/>
          <w:szCs w:val="12"/>
        </w:rPr>
        <w:t>measurements</w:t>
      </w:r>
      <w:proofErr w:type="spellEnd"/>
      <w:r>
        <w:rPr>
          <w:rFonts w:ascii="Times New Roman" w:hAnsi="Times New Roman"/>
          <w:sz w:val="12"/>
          <w:szCs w:val="12"/>
        </w:rPr>
        <w:t xml:space="preserve"> of the </w:t>
      </w:r>
      <w:proofErr w:type="spellStart"/>
      <w:r>
        <w:rPr>
          <w:rFonts w:ascii="Times New Roman" w:hAnsi="Times New Roman"/>
          <w:sz w:val="12"/>
          <w:szCs w:val="12"/>
        </w:rPr>
        <w:t>parameters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included</w:t>
      </w:r>
      <w:proofErr w:type="spellEnd"/>
      <w:r>
        <w:rPr>
          <w:rFonts w:ascii="Times New Roman" w:hAnsi="Times New Roman"/>
          <w:sz w:val="12"/>
          <w:szCs w:val="12"/>
        </w:rPr>
        <w:t xml:space="preserve"> in the </w:t>
      </w:r>
      <w:proofErr w:type="spellStart"/>
      <w:r>
        <w:rPr>
          <w:rFonts w:ascii="Times New Roman" w:hAnsi="Times New Roman"/>
          <w:sz w:val="12"/>
          <w:szCs w:val="12"/>
        </w:rPr>
        <w:t>prod</w:t>
      </w:r>
      <w:r>
        <w:rPr>
          <w:rFonts w:ascii="Times New Roman" w:hAnsi="Times New Roman"/>
          <w:sz w:val="12"/>
          <w:szCs w:val="12"/>
        </w:rPr>
        <w:t>uct</w:t>
      </w:r>
      <w:proofErr w:type="spellEnd"/>
      <w:r>
        <w:rPr>
          <w:rFonts w:ascii="Times New Roman" w:hAnsi="Times New Roman"/>
          <w:sz w:val="12"/>
          <w:szCs w:val="12"/>
        </w:rPr>
        <w:t xml:space="preserve"> data </w:t>
      </w:r>
      <w:proofErr w:type="spellStart"/>
      <w:r>
        <w:rPr>
          <w:rFonts w:ascii="Times New Roman" w:hAnsi="Times New Roman"/>
          <w:sz w:val="12"/>
          <w:szCs w:val="12"/>
        </w:rPr>
        <w:t>sheet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were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made</w:t>
      </w:r>
      <w:proofErr w:type="spellEnd"/>
      <w:r>
        <w:rPr>
          <w:rFonts w:ascii="Times New Roman" w:hAnsi="Times New Roman"/>
          <w:sz w:val="12"/>
          <w:szCs w:val="12"/>
        </w:rPr>
        <w:t xml:space="preserve"> with the </w:t>
      </w:r>
      <w:proofErr w:type="spellStart"/>
      <w:r>
        <w:rPr>
          <w:rFonts w:ascii="Times New Roman" w:hAnsi="Times New Roman"/>
          <w:sz w:val="12"/>
          <w:szCs w:val="12"/>
        </w:rPr>
        <w:t>kitchen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hood</w:t>
      </w:r>
      <w:proofErr w:type="spellEnd"/>
      <w:r>
        <w:rPr>
          <w:rFonts w:ascii="Times New Roman" w:hAnsi="Times New Roman"/>
          <w:sz w:val="12"/>
          <w:szCs w:val="12"/>
        </w:rPr>
        <w:t xml:space="preserve"> in the </w:t>
      </w:r>
      <w:proofErr w:type="spellStart"/>
      <w:r>
        <w:rPr>
          <w:rFonts w:ascii="Times New Roman" w:hAnsi="Times New Roman"/>
          <w:sz w:val="12"/>
          <w:szCs w:val="12"/>
        </w:rPr>
        <w:t>operating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position</w:t>
      </w:r>
      <w:proofErr w:type="spellEnd"/>
      <w:r>
        <w:rPr>
          <w:rFonts w:ascii="Times New Roman" w:hAnsi="Times New Roman"/>
          <w:sz w:val="12"/>
          <w:szCs w:val="12"/>
        </w:rPr>
        <w:t xml:space="preserve"> on the </w:t>
      </w:r>
      <w:proofErr w:type="spellStart"/>
      <w:r>
        <w:rPr>
          <w:rFonts w:ascii="Times New Roman" w:hAnsi="Times New Roman"/>
          <w:sz w:val="12"/>
          <w:szCs w:val="12"/>
        </w:rPr>
        <w:t>measurement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station</w:t>
      </w:r>
      <w:proofErr w:type="spellEnd"/>
      <w:r>
        <w:rPr>
          <w:rFonts w:ascii="Times New Roman" w:hAnsi="Times New Roman"/>
          <w:sz w:val="12"/>
          <w:szCs w:val="12"/>
        </w:rPr>
        <w:t>: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EFFICIENCY MEASUREMENTS AND CALCULATIONS: </w:t>
      </w:r>
      <w:proofErr w:type="spellStart"/>
      <w:r>
        <w:rPr>
          <w:rFonts w:ascii="Times New Roman" w:hAnsi="Times New Roman"/>
          <w:sz w:val="12"/>
          <w:szCs w:val="12"/>
        </w:rPr>
        <w:t>Manufacturer</w:t>
      </w:r>
      <w:proofErr w:type="spellEnd"/>
      <w:r>
        <w:rPr>
          <w:rFonts w:ascii="Times New Roman" w:hAnsi="Times New Roman"/>
          <w:sz w:val="12"/>
          <w:szCs w:val="12"/>
        </w:rPr>
        <w:t>: TRE P ENGINEERING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proofErr w:type="spellStart"/>
      <w:r>
        <w:rPr>
          <w:rFonts w:ascii="Times New Roman" w:hAnsi="Times New Roman"/>
          <w:sz w:val="12"/>
          <w:szCs w:val="12"/>
        </w:rPr>
        <w:t>Type</w:t>
      </w:r>
      <w:proofErr w:type="spellEnd"/>
      <w:r>
        <w:rPr>
          <w:rFonts w:ascii="Times New Roman" w:hAnsi="Times New Roman"/>
          <w:sz w:val="12"/>
          <w:szCs w:val="12"/>
        </w:rPr>
        <w:t xml:space="preserve">: </w:t>
      </w:r>
      <w:proofErr w:type="spellStart"/>
      <w:r>
        <w:rPr>
          <w:rFonts w:ascii="Times New Roman" w:hAnsi="Times New Roman"/>
          <w:sz w:val="12"/>
          <w:szCs w:val="12"/>
        </w:rPr>
        <w:t>AirFlow</w:t>
      </w:r>
      <w:proofErr w:type="spellEnd"/>
      <w:r>
        <w:rPr>
          <w:rFonts w:ascii="Times New Roman" w:hAnsi="Times New Roman"/>
          <w:sz w:val="12"/>
          <w:szCs w:val="12"/>
        </w:rPr>
        <w:t xml:space="preserve"> TB </w:t>
      </w:r>
      <w:proofErr w:type="spellStart"/>
      <w:r>
        <w:rPr>
          <w:rFonts w:ascii="Times New Roman" w:hAnsi="Times New Roman"/>
          <w:sz w:val="12"/>
          <w:szCs w:val="12"/>
        </w:rPr>
        <w:t>Number</w:t>
      </w:r>
      <w:proofErr w:type="spellEnd"/>
      <w:r>
        <w:rPr>
          <w:rFonts w:ascii="Times New Roman" w:hAnsi="Times New Roman"/>
          <w:sz w:val="12"/>
          <w:szCs w:val="12"/>
        </w:rPr>
        <w:t>: BP 067.2020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LIGHTING EFFICIENCY MEASUREMENTS: </w:t>
      </w:r>
      <w:r>
        <w:rPr>
          <w:rFonts w:ascii="Times New Roman" w:hAnsi="Times New Roman"/>
          <w:sz w:val="12"/>
          <w:szCs w:val="12"/>
        </w:rPr>
        <w:t xml:space="preserve">SONOPAN L-100 </w:t>
      </w:r>
      <w:proofErr w:type="spellStart"/>
      <w:r>
        <w:rPr>
          <w:rFonts w:ascii="Times New Roman" w:hAnsi="Times New Roman"/>
          <w:sz w:val="12"/>
          <w:szCs w:val="12"/>
        </w:rPr>
        <w:t>light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meter</w:t>
      </w:r>
      <w:proofErr w:type="spellEnd"/>
      <w:r>
        <w:rPr>
          <w:rFonts w:ascii="Times New Roman" w:hAnsi="Times New Roman"/>
          <w:sz w:val="12"/>
          <w:szCs w:val="12"/>
        </w:rPr>
        <w:t xml:space="preserve"> with the G.L-100 </w:t>
      </w:r>
      <w:proofErr w:type="spellStart"/>
      <w:r>
        <w:rPr>
          <w:rFonts w:ascii="Times New Roman" w:hAnsi="Times New Roman"/>
          <w:sz w:val="12"/>
          <w:szCs w:val="12"/>
        </w:rPr>
        <w:t>external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measurement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head</w:t>
      </w:r>
      <w:proofErr w:type="spellEnd"/>
      <w:r>
        <w:rPr>
          <w:rFonts w:ascii="Times New Roman" w:hAnsi="Times New Roman"/>
          <w:sz w:val="12"/>
          <w:szCs w:val="12"/>
        </w:rPr>
        <w:t xml:space="preserve"> No. 741/2014 RP T 196, HAMEG INSTRUMENTS HM8115-2-type </w:t>
      </w:r>
      <w:proofErr w:type="spellStart"/>
      <w:r>
        <w:rPr>
          <w:rFonts w:ascii="Times New Roman" w:hAnsi="Times New Roman"/>
          <w:sz w:val="12"/>
          <w:szCs w:val="12"/>
        </w:rPr>
        <w:t>power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meter</w:t>
      </w:r>
      <w:proofErr w:type="spellEnd"/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SOUND POWER MEASUREMENTS: Sound </w:t>
      </w:r>
      <w:proofErr w:type="spellStart"/>
      <w:r>
        <w:rPr>
          <w:rFonts w:ascii="Times New Roman" w:hAnsi="Times New Roman"/>
          <w:sz w:val="12"/>
          <w:szCs w:val="12"/>
        </w:rPr>
        <w:t>level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meter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Type</w:t>
      </w:r>
      <w:proofErr w:type="spellEnd"/>
      <w:r>
        <w:rPr>
          <w:rFonts w:ascii="Times New Roman" w:hAnsi="Times New Roman"/>
          <w:sz w:val="12"/>
          <w:szCs w:val="12"/>
        </w:rPr>
        <w:t xml:space="preserve">: DSA-50 </w:t>
      </w:r>
      <w:proofErr w:type="spellStart"/>
      <w:r>
        <w:rPr>
          <w:rFonts w:ascii="Times New Roman" w:hAnsi="Times New Roman"/>
          <w:sz w:val="12"/>
          <w:szCs w:val="12"/>
        </w:rPr>
        <w:t>Manufacturer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Serial </w:t>
      </w:r>
      <w:proofErr w:type="spellStart"/>
      <w:r>
        <w:rPr>
          <w:rFonts w:ascii="Times New Roman" w:hAnsi="Times New Roman"/>
          <w:sz w:val="12"/>
          <w:szCs w:val="12"/>
        </w:rPr>
        <w:t>number</w:t>
      </w:r>
      <w:proofErr w:type="spellEnd"/>
      <w:r>
        <w:rPr>
          <w:rFonts w:ascii="Times New Roman" w:hAnsi="Times New Roman"/>
          <w:sz w:val="12"/>
          <w:szCs w:val="12"/>
        </w:rPr>
        <w:t>: 553/2019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proofErr w:type="spellStart"/>
      <w:r>
        <w:rPr>
          <w:rFonts w:ascii="Times New Roman" w:hAnsi="Times New Roman"/>
          <w:sz w:val="12"/>
          <w:szCs w:val="12"/>
        </w:rPr>
        <w:t>Mult</w:t>
      </w:r>
      <w:r>
        <w:rPr>
          <w:rFonts w:ascii="Times New Roman" w:hAnsi="Times New Roman"/>
          <w:sz w:val="12"/>
          <w:szCs w:val="12"/>
        </w:rPr>
        <w:t>iplexer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Type</w:t>
      </w:r>
      <w:proofErr w:type="spellEnd"/>
      <w:r>
        <w:rPr>
          <w:rFonts w:ascii="Times New Roman" w:hAnsi="Times New Roman"/>
          <w:sz w:val="12"/>
          <w:szCs w:val="12"/>
        </w:rPr>
        <w:t xml:space="preserve">: MPL-19 </w:t>
      </w:r>
      <w:proofErr w:type="spellStart"/>
      <w:r>
        <w:rPr>
          <w:rFonts w:ascii="Times New Roman" w:hAnsi="Times New Roman"/>
          <w:sz w:val="12"/>
          <w:szCs w:val="12"/>
        </w:rPr>
        <w:t>Manufacturer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Serial </w:t>
      </w:r>
      <w:proofErr w:type="spellStart"/>
      <w:r>
        <w:rPr>
          <w:rFonts w:ascii="Times New Roman" w:hAnsi="Times New Roman"/>
          <w:sz w:val="12"/>
          <w:szCs w:val="12"/>
        </w:rPr>
        <w:t>number</w:t>
      </w:r>
      <w:proofErr w:type="spellEnd"/>
      <w:r>
        <w:rPr>
          <w:rFonts w:ascii="Times New Roman" w:hAnsi="Times New Roman"/>
          <w:sz w:val="12"/>
          <w:szCs w:val="12"/>
        </w:rPr>
        <w:t xml:space="preserve">: 11/2019 </w:t>
      </w:r>
      <w:proofErr w:type="spellStart"/>
      <w:r>
        <w:rPr>
          <w:rFonts w:ascii="Times New Roman" w:hAnsi="Times New Roman"/>
          <w:sz w:val="12"/>
          <w:szCs w:val="12"/>
        </w:rPr>
        <w:t>Acoustic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calibrator</w:t>
      </w:r>
      <w:proofErr w:type="spellEnd"/>
      <w:r>
        <w:rPr>
          <w:rFonts w:ascii="Times New Roman" w:hAnsi="Times New Roman"/>
          <w:sz w:val="12"/>
          <w:szCs w:val="12"/>
        </w:rPr>
        <w:t xml:space="preserve">: </w:t>
      </w:r>
      <w:proofErr w:type="spellStart"/>
      <w:r>
        <w:rPr>
          <w:rFonts w:ascii="Times New Roman" w:hAnsi="Times New Roman"/>
          <w:sz w:val="12"/>
          <w:szCs w:val="12"/>
        </w:rPr>
        <w:t>Type</w:t>
      </w:r>
      <w:proofErr w:type="spellEnd"/>
      <w:r>
        <w:rPr>
          <w:rFonts w:ascii="Times New Roman" w:hAnsi="Times New Roman"/>
          <w:sz w:val="12"/>
          <w:szCs w:val="12"/>
        </w:rPr>
        <w:t xml:space="preserve">: KA-50 </w:t>
      </w:r>
      <w:proofErr w:type="spellStart"/>
      <w:r>
        <w:rPr>
          <w:rFonts w:ascii="Times New Roman" w:hAnsi="Times New Roman"/>
          <w:sz w:val="12"/>
          <w:szCs w:val="12"/>
        </w:rPr>
        <w:t>Manufacturer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Serial </w:t>
      </w:r>
      <w:proofErr w:type="spellStart"/>
      <w:r>
        <w:rPr>
          <w:rFonts w:ascii="Times New Roman" w:hAnsi="Times New Roman"/>
          <w:sz w:val="12"/>
          <w:szCs w:val="12"/>
        </w:rPr>
        <w:t>number</w:t>
      </w:r>
      <w:proofErr w:type="spellEnd"/>
      <w:r>
        <w:rPr>
          <w:rFonts w:ascii="Times New Roman" w:hAnsi="Times New Roman"/>
          <w:sz w:val="12"/>
          <w:szCs w:val="12"/>
        </w:rPr>
        <w:t>: 585/2019</w:t>
      </w:r>
    </w:p>
    <w:p w:rsidR="0037797C" w:rsidRDefault="00732EA5">
      <w:pPr>
        <w:pStyle w:val="Standarduser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POLLUTANTS SUCTION EFFICIENCY MEASUREMENTS: </w:t>
      </w:r>
      <w:proofErr w:type="spellStart"/>
      <w:r>
        <w:rPr>
          <w:rFonts w:ascii="Times New Roman" w:hAnsi="Times New Roman"/>
          <w:sz w:val="12"/>
          <w:szCs w:val="12"/>
        </w:rPr>
        <w:t>Manufacturer</w:t>
      </w:r>
      <w:proofErr w:type="spellEnd"/>
      <w:r>
        <w:rPr>
          <w:rFonts w:ascii="Times New Roman" w:hAnsi="Times New Roman"/>
          <w:sz w:val="12"/>
          <w:szCs w:val="12"/>
        </w:rPr>
        <w:t xml:space="preserve">: TRE P ENGINEERING </w:t>
      </w:r>
      <w:proofErr w:type="spellStart"/>
      <w:r>
        <w:rPr>
          <w:rFonts w:ascii="Times New Roman" w:hAnsi="Times New Roman"/>
          <w:sz w:val="12"/>
          <w:szCs w:val="12"/>
        </w:rPr>
        <w:t>Type</w:t>
      </w:r>
      <w:proofErr w:type="spellEnd"/>
      <w:r>
        <w:rPr>
          <w:rFonts w:ascii="Times New Roman" w:hAnsi="Times New Roman"/>
          <w:sz w:val="12"/>
          <w:szCs w:val="12"/>
        </w:rPr>
        <w:t>: B.GRA</w:t>
      </w:r>
      <w:r>
        <w:rPr>
          <w:rFonts w:ascii="Times New Roman" w:hAnsi="Times New Roman"/>
          <w:sz w:val="12"/>
          <w:szCs w:val="12"/>
        </w:rPr>
        <w:t xml:space="preserve">SSI </w:t>
      </w:r>
      <w:proofErr w:type="spellStart"/>
      <w:r>
        <w:rPr>
          <w:rFonts w:ascii="Times New Roman" w:hAnsi="Times New Roman"/>
          <w:sz w:val="12"/>
          <w:szCs w:val="12"/>
        </w:rPr>
        <w:t>Number</w:t>
      </w:r>
      <w:proofErr w:type="spellEnd"/>
      <w:r>
        <w:rPr>
          <w:rFonts w:ascii="Times New Roman" w:hAnsi="Times New Roman"/>
          <w:sz w:val="12"/>
          <w:szCs w:val="12"/>
        </w:rPr>
        <w:t>: BAG 060.2018</w:t>
      </w:r>
    </w:p>
    <w:p w:rsidR="0037797C" w:rsidRDefault="0037797C">
      <w:pPr>
        <w:pStyle w:val="Standarduser"/>
        <w:jc w:val="center"/>
        <w:rPr>
          <w:rFonts w:ascii="Times New Roman" w:hAnsi="Times New Roman" w:cs="Tahoma"/>
          <w:sz w:val="12"/>
          <w:szCs w:val="12"/>
          <w:lang w:val="en-US"/>
        </w:rPr>
      </w:pPr>
    </w:p>
    <w:p w:rsidR="0037797C" w:rsidRDefault="00732EA5">
      <w:pPr>
        <w:pStyle w:val="Standarduser"/>
        <w:jc w:val="center"/>
      </w:pPr>
      <w:r>
        <w:rPr>
          <w:rFonts w:ascii="Times New Roman" w:hAnsi="Times New Roman" w:cs="Times New Roman"/>
          <w:sz w:val="12"/>
          <w:szCs w:val="12"/>
          <w:lang w:val="en-US"/>
        </w:rPr>
        <w:t>***</w:t>
      </w:r>
    </w:p>
    <w:p w:rsidR="0037797C" w:rsidRDefault="00732EA5">
      <w:pPr>
        <w:pStyle w:val="Textbodyuser"/>
        <w:spacing w:after="0"/>
      </w:pPr>
      <w:r>
        <w:rPr>
          <w:rFonts w:ascii="Times New Roman" w:hAnsi="Times New Roman" w:cs="Times New Roman"/>
          <w:sz w:val="12"/>
          <w:szCs w:val="12"/>
          <w:lang w:val="de-DE"/>
        </w:rPr>
        <w:t>Messergebnisse sind auf Grund der folgenden Richtlinien entstanden:</w:t>
      </w:r>
    </w:p>
    <w:p w:rsidR="0037797C" w:rsidRDefault="00732EA5">
      <w:pPr>
        <w:pStyle w:val="Textbodyuser"/>
        <w:numPr>
          <w:ilvl w:val="0"/>
          <w:numId w:val="9"/>
        </w:numPr>
        <w:spacing w:after="0"/>
      </w:pPr>
      <w:r>
        <w:rPr>
          <w:rFonts w:ascii="Times New Roman" w:hAnsi="Times New Roman" w:cs="Times New Roman"/>
          <w:sz w:val="12"/>
          <w:szCs w:val="12"/>
          <w:lang w:val="de-DE"/>
        </w:rPr>
        <w:t xml:space="preserve">Richtlinie </w:t>
      </w:r>
      <w:proofErr w:type="spellStart"/>
      <w:r>
        <w:rPr>
          <w:rFonts w:ascii="Times New Roman" w:hAnsi="Times New Roman" w:cs="Times New Roman"/>
          <w:sz w:val="12"/>
          <w:szCs w:val="12"/>
          <w:lang w:val="de-DE"/>
        </w:rPr>
        <w:t>PEiR</w:t>
      </w:r>
      <w:proofErr w:type="spellEnd"/>
      <w:r>
        <w:rPr>
          <w:rFonts w:ascii="Times New Roman" w:hAnsi="Times New Roman" w:cs="Times New Roman"/>
          <w:sz w:val="12"/>
          <w:szCs w:val="12"/>
          <w:lang w:val="de-DE"/>
        </w:rPr>
        <w:t xml:space="preserve"> 2010/30/UE; Verordnung Nr. 65/2014</w:t>
      </w:r>
    </w:p>
    <w:p w:rsidR="0037797C" w:rsidRDefault="00732EA5">
      <w:pPr>
        <w:pStyle w:val="Textbodyuser"/>
        <w:numPr>
          <w:ilvl w:val="0"/>
          <w:numId w:val="4"/>
        </w:numPr>
        <w:spacing w:after="0"/>
      </w:pPr>
      <w:r>
        <w:rPr>
          <w:rFonts w:ascii="Times New Roman" w:hAnsi="Times New Roman" w:cs="Times New Roman"/>
          <w:sz w:val="12"/>
          <w:szCs w:val="12"/>
          <w:lang w:val="de-DE"/>
        </w:rPr>
        <w:t xml:space="preserve">Richtlinie </w:t>
      </w:r>
      <w:proofErr w:type="spellStart"/>
      <w:r>
        <w:rPr>
          <w:rFonts w:ascii="Times New Roman" w:hAnsi="Times New Roman" w:cs="Times New Roman"/>
          <w:sz w:val="12"/>
          <w:szCs w:val="12"/>
          <w:lang w:val="de-DE"/>
        </w:rPr>
        <w:t>PEiR</w:t>
      </w:r>
      <w:proofErr w:type="spellEnd"/>
      <w:r>
        <w:rPr>
          <w:rFonts w:ascii="Times New Roman" w:hAnsi="Times New Roman" w:cs="Times New Roman"/>
          <w:sz w:val="12"/>
          <w:szCs w:val="12"/>
          <w:lang w:val="de-DE"/>
        </w:rPr>
        <w:t xml:space="preserve"> 2009/125/WE; Verordnung Nr. 66/2014</w:t>
      </w:r>
    </w:p>
    <w:p w:rsidR="0037797C" w:rsidRDefault="00732EA5">
      <w:pPr>
        <w:pStyle w:val="Textbodyuser"/>
        <w:numPr>
          <w:ilvl w:val="0"/>
          <w:numId w:val="4"/>
        </w:numPr>
        <w:spacing w:after="0"/>
      </w:pPr>
      <w:r>
        <w:rPr>
          <w:rFonts w:ascii="Times New Roman" w:hAnsi="Times New Roman" w:cs="Times New Roman"/>
          <w:sz w:val="12"/>
          <w:szCs w:val="12"/>
          <w:lang w:val="de-DE"/>
        </w:rPr>
        <w:t>EN 50564 - Elektrische Haushaltgeräte- gemessen bei der</w:t>
      </w:r>
      <w:r>
        <w:rPr>
          <w:rFonts w:ascii="Times New Roman" w:hAnsi="Times New Roman" w:cs="Times New Roman"/>
          <w:sz w:val="12"/>
          <w:szCs w:val="12"/>
          <w:lang w:val="de-DE"/>
        </w:rPr>
        <w:t xml:space="preserve"> Arbeitsbereitschaft</w:t>
      </w:r>
    </w:p>
    <w:p w:rsidR="0037797C" w:rsidRDefault="00732EA5">
      <w:pPr>
        <w:pStyle w:val="Textbodyuser"/>
        <w:numPr>
          <w:ilvl w:val="0"/>
          <w:numId w:val="4"/>
        </w:numPr>
        <w:spacing w:after="0"/>
      </w:pPr>
      <w:r>
        <w:rPr>
          <w:rFonts w:ascii="Times New Roman" w:hAnsi="Times New Roman" w:cs="Times New Roman"/>
          <w:sz w:val="12"/>
          <w:szCs w:val="12"/>
          <w:lang w:val="de-DE"/>
        </w:rPr>
        <w:t>EN 60704 -2 -13 - Elektrische Haushaltgeräte und ähnliche – Lärmmessverordnung</w:t>
      </w:r>
      <w:r>
        <w:rPr>
          <w:sz w:val="12"/>
          <w:szCs w:val="12"/>
          <w:lang w:val="en-US"/>
        </w:rPr>
        <w:br/>
      </w:r>
      <w:r>
        <w:rPr>
          <w:rFonts w:ascii="Times New Roman" w:hAnsi="Times New Roman" w:cs="Times New Roman"/>
          <w:sz w:val="12"/>
          <w:szCs w:val="12"/>
          <w:lang w:val="de-DE"/>
        </w:rPr>
        <w:t xml:space="preserve">Detailanforderungen für </w:t>
      </w:r>
      <w:proofErr w:type="spellStart"/>
      <w:r>
        <w:rPr>
          <w:rFonts w:ascii="Times New Roman" w:hAnsi="Times New Roman" w:cs="Times New Roman"/>
          <w:sz w:val="12"/>
          <w:szCs w:val="12"/>
          <w:lang w:val="de-DE"/>
        </w:rPr>
        <w:t>Dunstsabzugshauben</w:t>
      </w:r>
      <w:proofErr w:type="spellEnd"/>
      <w:r>
        <w:rPr>
          <w:rFonts w:ascii="Times New Roman" w:hAnsi="Times New Roman" w:cs="Times New Roman"/>
          <w:sz w:val="12"/>
          <w:szCs w:val="12"/>
          <w:lang w:val="de-DE"/>
        </w:rPr>
        <w:t>.</w:t>
      </w:r>
    </w:p>
    <w:p w:rsidR="0037797C" w:rsidRDefault="00732EA5">
      <w:pPr>
        <w:pStyle w:val="Textbodyuser"/>
        <w:numPr>
          <w:ilvl w:val="0"/>
          <w:numId w:val="10"/>
        </w:numPr>
        <w:spacing w:after="0"/>
      </w:pPr>
      <w:r>
        <w:rPr>
          <w:rFonts w:ascii="Times New Roman" w:hAnsi="Times New Roman" w:cs="Times New Roman"/>
          <w:sz w:val="12"/>
          <w:szCs w:val="12"/>
          <w:lang w:val="de-DE"/>
        </w:rPr>
        <w:t xml:space="preserve">EN 6159 – </w:t>
      </w:r>
      <w:proofErr w:type="spellStart"/>
      <w:r>
        <w:rPr>
          <w:rFonts w:ascii="Times New Roman" w:hAnsi="Times New Roman" w:cs="Times New Roman"/>
          <w:sz w:val="12"/>
          <w:szCs w:val="12"/>
          <w:lang w:val="de-DE"/>
        </w:rPr>
        <w:t>Dunstsabzughauben</w:t>
      </w:r>
      <w:proofErr w:type="spellEnd"/>
      <w:r>
        <w:rPr>
          <w:rFonts w:ascii="Times New Roman" w:hAnsi="Times New Roman" w:cs="Times New Roman"/>
          <w:sz w:val="12"/>
          <w:szCs w:val="12"/>
          <w:lang w:val="de-DE"/>
        </w:rPr>
        <w:t xml:space="preserve"> und andere Abzugshauben für den privaten</w:t>
      </w:r>
      <w:r>
        <w:rPr>
          <w:sz w:val="12"/>
          <w:szCs w:val="12"/>
          <w:lang w:val="en-US"/>
        </w:rPr>
        <w:br/>
      </w:r>
      <w:r>
        <w:rPr>
          <w:rFonts w:ascii="Times New Roman" w:hAnsi="Times New Roman" w:cs="Times New Roman"/>
          <w:sz w:val="12"/>
          <w:szCs w:val="12"/>
          <w:lang w:val="de-DE"/>
        </w:rPr>
        <w:t>Haushalt - Verfahren der Untersuchung für E</w:t>
      </w:r>
      <w:r>
        <w:rPr>
          <w:rFonts w:ascii="Times New Roman" w:hAnsi="Times New Roman" w:cs="Times New Roman"/>
          <w:sz w:val="12"/>
          <w:szCs w:val="12"/>
          <w:lang w:val="de-DE"/>
        </w:rPr>
        <w:t>igenschaft der Funktionen</w:t>
      </w:r>
    </w:p>
    <w:p w:rsidR="0037797C" w:rsidRDefault="00732EA5">
      <w:pPr>
        <w:pStyle w:val="Standarduser"/>
        <w:numPr>
          <w:ilvl w:val="0"/>
          <w:numId w:val="5"/>
        </w:numPr>
      </w:pPr>
      <w:r>
        <w:rPr>
          <w:rFonts w:ascii="Times New Roman" w:hAnsi="Times New Roman" w:cs="Times New Roman"/>
          <w:sz w:val="12"/>
          <w:szCs w:val="12"/>
          <w:lang w:val="de-DE"/>
        </w:rPr>
        <w:t xml:space="preserve">EN 61591:1997+A1:2006+A2:2011+A11:2014+A12:2015 p.12 - </w:t>
      </w:r>
      <w:proofErr w:type="spellStart"/>
      <w:r>
        <w:rPr>
          <w:rFonts w:ascii="Times New Roman" w:hAnsi="Times New Roman" w:cs="Times New Roman"/>
          <w:sz w:val="12"/>
          <w:szCs w:val="12"/>
          <w:lang w:val="de-DE"/>
        </w:rPr>
        <w:t>Dunstsabzughauben</w:t>
      </w:r>
      <w:proofErr w:type="spellEnd"/>
      <w:r>
        <w:rPr>
          <w:rFonts w:ascii="Times New Roman" w:hAnsi="Times New Roman" w:cs="Times New Roman"/>
          <w:sz w:val="12"/>
          <w:szCs w:val="12"/>
          <w:lang w:val="de-DE"/>
        </w:rPr>
        <w:t xml:space="preserve"> und andere Abzugshauben für den privaten</w:t>
      </w:r>
      <w:r>
        <w:rPr>
          <w:sz w:val="12"/>
          <w:szCs w:val="12"/>
          <w:lang w:val="en-US"/>
        </w:rPr>
        <w:br/>
      </w:r>
      <w:r>
        <w:rPr>
          <w:rFonts w:ascii="Times New Roman" w:hAnsi="Times New Roman" w:cs="Times New Roman"/>
          <w:sz w:val="12"/>
          <w:szCs w:val="12"/>
          <w:lang w:val="de-DE"/>
        </w:rPr>
        <w:t>Haushalt - Verfahren der Untersuchung für Eigenschaft der Funktionen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proofErr w:type="spellStart"/>
      <w:r>
        <w:rPr>
          <w:rFonts w:ascii="Times New Roman" w:hAnsi="Times New Roman"/>
          <w:sz w:val="12"/>
          <w:szCs w:val="12"/>
        </w:rPr>
        <w:t>Um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Umweltbelastung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durch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Nutzung</w:t>
      </w:r>
      <w:proofErr w:type="spellEnd"/>
      <w:r>
        <w:rPr>
          <w:rFonts w:ascii="Times New Roman" w:hAnsi="Times New Roman"/>
          <w:sz w:val="12"/>
          <w:szCs w:val="12"/>
        </w:rPr>
        <w:t xml:space="preserve"> der </w:t>
      </w:r>
      <w:proofErr w:type="spellStart"/>
      <w:r>
        <w:rPr>
          <w:rFonts w:ascii="Times New Roman" w:hAnsi="Times New Roman"/>
          <w:sz w:val="12"/>
          <w:szCs w:val="12"/>
        </w:rPr>
        <w:t>Du</w:t>
      </w:r>
      <w:r>
        <w:rPr>
          <w:rFonts w:ascii="Times New Roman" w:hAnsi="Times New Roman"/>
          <w:sz w:val="12"/>
          <w:szCs w:val="12"/>
        </w:rPr>
        <w:t>nstabzugshaube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zu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reduzieren</w:t>
      </w:r>
      <w:proofErr w:type="spellEnd"/>
      <w:r>
        <w:rPr>
          <w:rFonts w:ascii="Times New Roman" w:hAnsi="Times New Roman"/>
          <w:sz w:val="12"/>
          <w:szCs w:val="12"/>
        </w:rPr>
        <w:t>: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• </w:t>
      </w:r>
      <w:proofErr w:type="spellStart"/>
      <w:r>
        <w:rPr>
          <w:rFonts w:ascii="Times New Roman" w:hAnsi="Times New Roman"/>
          <w:sz w:val="12"/>
          <w:szCs w:val="12"/>
        </w:rPr>
        <w:t>Verwenden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Sie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maximale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Motordrehzahl</w:t>
      </w:r>
      <w:proofErr w:type="spellEnd"/>
      <w:r>
        <w:rPr>
          <w:rFonts w:ascii="Times New Roman" w:hAnsi="Times New Roman"/>
          <w:sz w:val="12"/>
          <w:szCs w:val="12"/>
        </w:rPr>
        <w:t xml:space="preserve"> nur </w:t>
      </w:r>
      <w:proofErr w:type="spellStart"/>
      <w:r>
        <w:rPr>
          <w:rFonts w:ascii="Times New Roman" w:hAnsi="Times New Roman"/>
          <w:sz w:val="12"/>
          <w:szCs w:val="12"/>
        </w:rPr>
        <w:t>beim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intensiven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Kochen</w:t>
      </w:r>
      <w:proofErr w:type="spellEnd"/>
      <w:r>
        <w:rPr>
          <w:rFonts w:ascii="Times New Roman" w:hAnsi="Times New Roman"/>
          <w:sz w:val="12"/>
          <w:szCs w:val="12"/>
        </w:rPr>
        <w:t>,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• </w:t>
      </w:r>
      <w:proofErr w:type="spellStart"/>
      <w:r>
        <w:rPr>
          <w:rFonts w:ascii="Times New Roman" w:hAnsi="Times New Roman"/>
          <w:sz w:val="12"/>
          <w:szCs w:val="12"/>
        </w:rPr>
        <w:t>Schalten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Sie</w:t>
      </w:r>
      <w:proofErr w:type="spellEnd"/>
      <w:r>
        <w:rPr>
          <w:rFonts w:ascii="Times New Roman" w:hAnsi="Times New Roman"/>
          <w:sz w:val="12"/>
          <w:szCs w:val="12"/>
        </w:rPr>
        <w:t xml:space="preserve"> den Motor </w:t>
      </w:r>
      <w:proofErr w:type="spellStart"/>
      <w:r>
        <w:rPr>
          <w:rFonts w:ascii="Times New Roman" w:hAnsi="Times New Roman"/>
          <w:sz w:val="12"/>
          <w:szCs w:val="12"/>
        </w:rPr>
        <w:t>nach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dem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Kochen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aus</w:t>
      </w:r>
      <w:proofErr w:type="spellEnd"/>
      <w:r>
        <w:rPr>
          <w:rFonts w:ascii="Times New Roman" w:hAnsi="Times New Roman"/>
          <w:sz w:val="12"/>
          <w:szCs w:val="12"/>
        </w:rPr>
        <w:t>,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   • </w:t>
      </w:r>
      <w:proofErr w:type="spellStart"/>
      <w:r>
        <w:rPr>
          <w:rFonts w:ascii="Times New Roman" w:hAnsi="Times New Roman"/>
          <w:sz w:val="12"/>
          <w:szCs w:val="12"/>
        </w:rPr>
        <w:t>Schalten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Sie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Beleuchtung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aus</w:t>
      </w:r>
      <w:proofErr w:type="spellEnd"/>
      <w:r>
        <w:rPr>
          <w:rFonts w:ascii="Times New Roman" w:hAnsi="Times New Roman"/>
          <w:sz w:val="12"/>
          <w:szCs w:val="12"/>
        </w:rPr>
        <w:t xml:space="preserve">, </w:t>
      </w:r>
      <w:proofErr w:type="spellStart"/>
      <w:r>
        <w:rPr>
          <w:rFonts w:ascii="Times New Roman" w:hAnsi="Times New Roman"/>
          <w:sz w:val="12"/>
          <w:szCs w:val="12"/>
        </w:rPr>
        <w:t>wenn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Sie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die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Haube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nicht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mehr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verwenden</w:t>
      </w:r>
      <w:proofErr w:type="spellEnd"/>
      <w:r>
        <w:rPr>
          <w:rFonts w:ascii="Times New Roman" w:hAnsi="Times New Roman"/>
          <w:sz w:val="12"/>
          <w:szCs w:val="12"/>
        </w:rPr>
        <w:t>.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proofErr w:type="spellStart"/>
      <w:r>
        <w:rPr>
          <w:rFonts w:ascii="Times New Roman" w:hAnsi="Times New Roman"/>
          <w:sz w:val="12"/>
          <w:szCs w:val="12"/>
        </w:rPr>
        <w:t>Die</w:t>
      </w:r>
      <w:proofErr w:type="spellEnd"/>
      <w:r>
        <w:rPr>
          <w:rFonts w:ascii="Times New Roman" w:hAnsi="Times New Roman"/>
          <w:sz w:val="12"/>
          <w:szCs w:val="12"/>
        </w:rPr>
        <w:t xml:space="preserve"> im </w:t>
      </w:r>
      <w:proofErr w:type="spellStart"/>
      <w:r>
        <w:rPr>
          <w:rFonts w:ascii="Times New Roman" w:hAnsi="Times New Roman"/>
          <w:sz w:val="12"/>
          <w:szCs w:val="12"/>
        </w:rPr>
        <w:t>Produktblatt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enthaltenen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Daten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wurden</w:t>
      </w:r>
      <w:proofErr w:type="spellEnd"/>
      <w:r>
        <w:rPr>
          <w:rFonts w:ascii="Times New Roman" w:hAnsi="Times New Roman"/>
          <w:sz w:val="12"/>
          <w:szCs w:val="12"/>
        </w:rPr>
        <w:t xml:space="preserve"> in der </w:t>
      </w:r>
      <w:proofErr w:type="spellStart"/>
      <w:r>
        <w:rPr>
          <w:rFonts w:ascii="Times New Roman" w:hAnsi="Times New Roman"/>
          <w:sz w:val="12"/>
          <w:szCs w:val="12"/>
        </w:rPr>
        <w:t>Arbeitsposition</w:t>
      </w:r>
      <w:proofErr w:type="spellEnd"/>
      <w:r>
        <w:rPr>
          <w:rFonts w:ascii="Times New Roman" w:hAnsi="Times New Roman"/>
          <w:sz w:val="12"/>
          <w:szCs w:val="12"/>
        </w:rPr>
        <w:t xml:space="preserve"> der </w:t>
      </w:r>
      <w:proofErr w:type="spellStart"/>
      <w:r>
        <w:rPr>
          <w:rFonts w:ascii="Times New Roman" w:hAnsi="Times New Roman"/>
          <w:sz w:val="12"/>
          <w:szCs w:val="12"/>
        </w:rPr>
        <w:t>Haube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an</w:t>
      </w:r>
      <w:proofErr w:type="spellEnd"/>
      <w:r>
        <w:rPr>
          <w:rFonts w:ascii="Times New Roman" w:hAnsi="Times New Roman"/>
          <w:sz w:val="12"/>
          <w:szCs w:val="12"/>
        </w:rPr>
        <w:t xml:space="preserve"> den </w:t>
      </w:r>
      <w:proofErr w:type="spellStart"/>
      <w:r>
        <w:rPr>
          <w:rFonts w:ascii="Times New Roman" w:hAnsi="Times New Roman"/>
          <w:sz w:val="12"/>
          <w:szCs w:val="12"/>
        </w:rPr>
        <w:t>Messständen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gemessen</w:t>
      </w:r>
      <w:proofErr w:type="spellEnd"/>
      <w:r>
        <w:rPr>
          <w:rFonts w:ascii="Times New Roman" w:hAnsi="Times New Roman"/>
          <w:sz w:val="12"/>
          <w:szCs w:val="12"/>
        </w:rPr>
        <w:t>: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MESSUNG UND BERECHNUNG DER EFFIZIENZ: </w:t>
      </w:r>
      <w:proofErr w:type="spellStart"/>
      <w:r>
        <w:rPr>
          <w:rFonts w:ascii="Times New Roman" w:hAnsi="Times New Roman"/>
          <w:sz w:val="12"/>
          <w:szCs w:val="12"/>
        </w:rPr>
        <w:t>Hersteller</w:t>
      </w:r>
      <w:proofErr w:type="spellEnd"/>
      <w:r>
        <w:rPr>
          <w:rFonts w:ascii="Times New Roman" w:hAnsi="Times New Roman"/>
          <w:sz w:val="12"/>
          <w:szCs w:val="12"/>
        </w:rPr>
        <w:t>: TRE P ENGINEERING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Typ: </w:t>
      </w:r>
      <w:proofErr w:type="spellStart"/>
      <w:r>
        <w:rPr>
          <w:rFonts w:ascii="Times New Roman" w:hAnsi="Times New Roman"/>
          <w:sz w:val="12"/>
          <w:szCs w:val="12"/>
        </w:rPr>
        <w:t>AirFlow</w:t>
      </w:r>
      <w:proofErr w:type="spellEnd"/>
      <w:r>
        <w:rPr>
          <w:rFonts w:ascii="Times New Roman" w:hAnsi="Times New Roman"/>
          <w:sz w:val="12"/>
          <w:szCs w:val="12"/>
        </w:rPr>
        <w:t xml:space="preserve"> TB-</w:t>
      </w:r>
      <w:proofErr w:type="spellStart"/>
      <w:r>
        <w:rPr>
          <w:rFonts w:ascii="Times New Roman" w:hAnsi="Times New Roman"/>
          <w:sz w:val="12"/>
          <w:szCs w:val="12"/>
        </w:rPr>
        <w:t>Nummer</w:t>
      </w:r>
      <w:proofErr w:type="spellEnd"/>
      <w:r>
        <w:rPr>
          <w:rFonts w:ascii="Times New Roman" w:hAnsi="Times New Roman"/>
          <w:sz w:val="12"/>
          <w:szCs w:val="12"/>
        </w:rPr>
        <w:t>: BP 067.2020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MESSUNG DER BELEUCHTUNGSEFFIZIENZ: </w:t>
      </w:r>
      <w:proofErr w:type="spellStart"/>
      <w:r>
        <w:rPr>
          <w:rFonts w:ascii="Times New Roman" w:hAnsi="Times New Roman"/>
          <w:sz w:val="12"/>
          <w:szCs w:val="12"/>
        </w:rPr>
        <w:t>Luxmeter</w:t>
      </w:r>
      <w:proofErr w:type="spellEnd"/>
      <w:r>
        <w:rPr>
          <w:rFonts w:ascii="Times New Roman" w:hAnsi="Times New Roman"/>
          <w:sz w:val="12"/>
          <w:szCs w:val="12"/>
        </w:rPr>
        <w:t xml:space="preserve"> L-100 mit </w:t>
      </w:r>
      <w:proofErr w:type="spellStart"/>
      <w:r>
        <w:rPr>
          <w:rFonts w:ascii="Times New Roman" w:hAnsi="Times New Roman"/>
          <w:sz w:val="12"/>
          <w:szCs w:val="12"/>
        </w:rPr>
        <w:t>externe</w:t>
      </w:r>
      <w:r>
        <w:rPr>
          <w:rFonts w:ascii="Times New Roman" w:hAnsi="Times New Roman"/>
          <w:sz w:val="12"/>
          <w:szCs w:val="12"/>
        </w:rPr>
        <w:t>m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Messkopf</w:t>
      </w:r>
      <w:proofErr w:type="spellEnd"/>
      <w:r>
        <w:rPr>
          <w:rFonts w:ascii="Times New Roman" w:hAnsi="Times New Roman"/>
          <w:sz w:val="12"/>
          <w:szCs w:val="12"/>
        </w:rPr>
        <w:t xml:space="preserve"> G.L-100 der Fa. SONOPAN Nr. 741/2014 RP T 196, </w:t>
      </w:r>
      <w:proofErr w:type="spellStart"/>
      <w:r>
        <w:rPr>
          <w:rFonts w:ascii="Times New Roman" w:hAnsi="Times New Roman"/>
          <w:sz w:val="12"/>
          <w:szCs w:val="12"/>
        </w:rPr>
        <w:t>Leistungsmesser</w:t>
      </w:r>
      <w:proofErr w:type="spellEnd"/>
      <w:r>
        <w:rPr>
          <w:rFonts w:ascii="Times New Roman" w:hAnsi="Times New Roman"/>
          <w:sz w:val="12"/>
          <w:szCs w:val="12"/>
        </w:rPr>
        <w:t xml:space="preserve"> Typ HM8115-2 von HAMEG INSTRUMENTS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SCHALLLEISTUNGSMESSUNGEN: </w:t>
      </w:r>
      <w:proofErr w:type="spellStart"/>
      <w:r>
        <w:rPr>
          <w:rFonts w:ascii="Times New Roman" w:hAnsi="Times New Roman"/>
          <w:sz w:val="12"/>
          <w:szCs w:val="12"/>
        </w:rPr>
        <w:t>Schallpegelmesser</w:t>
      </w:r>
      <w:proofErr w:type="spellEnd"/>
      <w:r>
        <w:rPr>
          <w:rFonts w:ascii="Times New Roman" w:hAnsi="Times New Roman"/>
          <w:sz w:val="12"/>
          <w:szCs w:val="12"/>
        </w:rPr>
        <w:t xml:space="preserve"> Typ: DSA-50 </w:t>
      </w:r>
      <w:proofErr w:type="spellStart"/>
      <w:r>
        <w:rPr>
          <w:rFonts w:ascii="Times New Roman" w:hAnsi="Times New Roman"/>
          <w:sz w:val="12"/>
          <w:szCs w:val="12"/>
        </w:rPr>
        <w:t>Hersteller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</w:t>
      </w:r>
      <w:proofErr w:type="spellStart"/>
      <w:r>
        <w:rPr>
          <w:rFonts w:ascii="Times New Roman" w:hAnsi="Times New Roman"/>
          <w:sz w:val="12"/>
          <w:szCs w:val="12"/>
        </w:rPr>
        <w:t>Seriennummer</w:t>
      </w:r>
      <w:proofErr w:type="spellEnd"/>
      <w:r>
        <w:rPr>
          <w:rFonts w:ascii="Times New Roman" w:hAnsi="Times New Roman"/>
          <w:sz w:val="12"/>
          <w:szCs w:val="12"/>
        </w:rPr>
        <w:t>: 553/2019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  </w:t>
      </w:r>
      <w:proofErr w:type="spellStart"/>
      <w:r>
        <w:rPr>
          <w:rFonts w:ascii="Times New Roman" w:hAnsi="Times New Roman"/>
          <w:sz w:val="12"/>
          <w:szCs w:val="12"/>
        </w:rPr>
        <w:t>Multiplexer</w:t>
      </w:r>
      <w:proofErr w:type="spellEnd"/>
      <w:r>
        <w:rPr>
          <w:rFonts w:ascii="Times New Roman" w:hAnsi="Times New Roman"/>
          <w:sz w:val="12"/>
          <w:szCs w:val="12"/>
        </w:rPr>
        <w:t xml:space="preserve"> Typ: MPL-19 </w:t>
      </w:r>
      <w:proofErr w:type="spellStart"/>
      <w:r>
        <w:rPr>
          <w:rFonts w:ascii="Times New Roman" w:hAnsi="Times New Roman"/>
          <w:sz w:val="12"/>
          <w:szCs w:val="12"/>
        </w:rPr>
        <w:t>Herstelle</w:t>
      </w:r>
      <w:r>
        <w:rPr>
          <w:rFonts w:ascii="Times New Roman" w:hAnsi="Times New Roman"/>
          <w:sz w:val="12"/>
          <w:szCs w:val="12"/>
        </w:rPr>
        <w:t>r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</w:t>
      </w:r>
      <w:proofErr w:type="spellStart"/>
      <w:r>
        <w:rPr>
          <w:rFonts w:ascii="Times New Roman" w:hAnsi="Times New Roman"/>
          <w:sz w:val="12"/>
          <w:szCs w:val="12"/>
        </w:rPr>
        <w:t>Seriennummer</w:t>
      </w:r>
      <w:proofErr w:type="spellEnd"/>
      <w:r>
        <w:rPr>
          <w:rFonts w:ascii="Times New Roman" w:hAnsi="Times New Roman"/>
          <w:sz w:val="12"/>
          <w:szCs w:val="12"/>
        </w:rPr>
        <w:t xml:space="preserve">: 11/2019 </w:t>
      </w:r>
      <w:proofErr w:type="spellStart"/>
      <w:r>
        <w:rPr>
          <w:rFonts w:ascii="Times New Roman" w:hAnsi="Times New Roman"/>
          <w:sz w:val="12"/>
          <w:szCs w:val="12"/>
        </w:rPr>
        <w:t>Akustischer</w:t>
      </w:r>
      <w:proofErr w:type="spellEnd"/>
      <w:r>
        <w:rPr>
          <w:rFonts w:ascii="Times New Roman" w:hAnsi="Times New Roman"/>
          <w:sz w:val="12"/>
          <w:szCs w:val="12"/>
        </w:rPr>
        <w:t xml:space="preserve"> Kalibrator: Typ: KA-50 </w:t>
      </w:r>
      <w:proofErr w:type="spellStart"/>
      <w:r>
        <w:rPr>
          <w:rFonts w:ascii="Times New Roman" w:hAnsi="Times New Roman"/>
          <w:sz w:val="12"/>
          <w:szCs w:val="12"/>
        </w:rPr>
        <w:t>Hersteller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</w:t>
      </w:r>
      <w:proofErr w:type="spellStart"/>
      <w:r>
        <w:rPr>
          <w:rFonts w:ascii="Times New Roman" w:hAnsi="Times New Roman"/>
          <w:sz w:val="12"/>
          <w:szCs w:val="12"/>
        </w:rPr>
        <w:t>Seriennummer</w:t>
      </w:r>
      <w:proofErr w:type="spellEnd"/>
      <w:r>
        <w:rPr>
          <w:rFonts w:ascii="Times New Roman" w:hAnsi="Times New Roman"/>
          <w:sz w:val="12"/>
          <w:szCs w:val="12"/>
        </w:rPr>
        <w:t>: 585/2019</w:t>
      </w:r>
    </w:p>
    <w:p w:rsidR="0037797C" w:rsidRDefault="00732EA5">
      <w:pPr>
        <w:pStyle w:val="Textbodyuser"/>
        <w:spacing w:after="0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MESSUNG DER EFFIZIENZ DER SCHADSTOFFABSORPTION: </w:t>
      </w:r>
      <w:proofErr w:type="spellStart"/>
      <w:r>
        <w:rPr>
          <w:rFonts w:ascii="Times New Roman" w:hAnsi="Times New Roman"/>
          <w:sz w:val="12"/>
          <w:szCs w:val="12"/>
        </w:rPr>
        <w:t>Hersteller</w:t>
      </w:r>
      <w:proofErr w:type="spellEnd"/>
      <w:r>
        <w:rPr>
          <w:rFonts w:ascii="Times New Roman" w:hAnsi="Times New Roman"/>
          <w:sz w:val="12"/>
          <w:szCs w:val="12"/>
        </w:rPr>
        <w:t xml:space="preserve">: TRE P ENGINEERING Typ: B.GRASSI </w:t>
      </w:r>
      <w:proofErr w:type="spellStart"/>
      <w:r>
        <w:rPr>
          <w:rFonts w:ascii="Times New Roman" w:hAnsi="Times New Roman"/>
          <w:sz w:val="12"/>
          <w:szCs w:val="12"/>
        </w:rPr>
        <w:t>Nummer</w:t>
      </w:r>
      <w:proofErr w:type="spellEnd"/>
      <w:r>
        <w:rPr>
          <w:rFonts w:ascii="Times New Roman" w:hAnsi="Times New Roman"/>
          <w:sz w:val="12"/>
          <w:szCs w:val="12"/>
        </w:rPr>
        <w:t>: BAG 060.2018</w:t>
      </w:r>
    </w:p>
    <w:p w:rsidR="0037797C" w:rsidRDefault="0037797C">
      <w:pPr>
        <w:pStyle w:val="Standarduser"/>
        <w:jc w:val="center"/>
        <w:rPr>
          <w:rFonts w:ascii="Times New Roman" w:hAnsi="Times New Roman" w:cs="Tahoma"/>
          <w:sz w:val="12"/>
          <w:szCs w:val="12"/>
          <w:lang w:val="en-US"/>
        </w:rPr>
      </w:pPr>
    </w:p>
    <w:p w:rsidR="0037797C" w:rsidRDefault="00732EA5">
      <w:pPr>
        <w:pStyle w:val="Standarduser"/>
        <w:jc w:val="center"/>
      </w:pPr>
      <w:r>
        <w:rPr>
          <w:rFonts w:ascii="Times New Roman" w:hAnsi="Times New Roman" w:cs="Times New Roman"/>
          <w:sz w:val="12"/>
          <w:szCs w:val="12"/>
          <w:lang w:val="en-US"/>
        </w:rPr>
        <w:t>***</w:t>
      </w:r>
    </w:p>
    <w:p w:rsidR="0037797C" w:rsidRDefault="00732EA5">
      <w:pPr>
        <w:pStyle w:val="Pa0"/>
      </w:pPr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Pro</w:t>
      </w:r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zjištění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výsledků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a v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souladu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s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požadavky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ve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vztahu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k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energetickému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etiketování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,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jak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rovněž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ve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vztahu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k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požadavkům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týkajících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se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ekoprojektu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byly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použity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následující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metody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výpočtů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 xml:space="preserve"> a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měření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en-US"/>
        </w:rPr>
        <w:t>:</w:t>
      </w:r>
    </w:p>
    <w:p w:rsidR="0037797C" w:rsidRDefault="00732EA5">
      <w:pPr>
        <w:pStyle w:val="Pa1"/>
        <w:numPr>
          <w:ilvl w:val="0"/>
          <w:numId w:val="11"/>
        </w:numPr>
      </w:pP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Směrnice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Evropského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parlamentu a Rady2010/30/EU; NAŘÍZENÍ Č. 65/</w:t>
      </w:r>
      <w:r>
        <w:rPr>
          <w:rStyle w:val="A9"/>
          <w:rFonts w:ascii="Times New Roman" w:hAnsi="Times New Roman" w:cs="Times New Roman"/>
          <w:sz w:val="12"/>
          <w:szCs w:val="12"/>
        </w:rPr>
        <w:t>2014,</w:t>
      </w:r>
    </w:p>
    <w:p w:rsidR="0037797C" w:rsidRDefault="00732EA5">
      <w:pPr>
        <w:pStyle w:val="Pa1"/>
        <w:numPr>
          <w:ilvl w:val="0"/>
          <w:numId w:val="7"/>
        </w:numPr>
      </w:pP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Směrnice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Evropského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parlamentu a Rady2009/125/ES; NAŘÍZENÍ Č. 66/2014,</w:t>
      </w:r>
    </w:p>
    <w:p w:rsidR="0037797C" w:rsidRDefault="00732EA5">
      <w:pPr>
        <w:pStyle w:val="Pa1"/>
        <w:numPr>
          <w:ilvl w:val="0"/>
          <w:numId w:val="7"/>
        </w:numPr>
      </w:pPr>
      <w:r>
        <w:rPr>
          <w:rStyle w:val="A9"/>
          <w:rFonts w:ascii="Times New Roman" w:hAnsi="Times New Roman" w:cs="Times New Roman"/>
          <w:sz w:val="12"/>
          <w:szCs w:val="12"/>
        </w:rPr>
        <w:t xml:space="preserve">EN 50564 –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Elektrická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a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elektronická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zařízení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pro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domácnost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a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kanceláře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–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měření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odběru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výkonu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spotřebiče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v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stavu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 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pohotovostního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režimu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>.</w:t>
      </w:r>
    </w:p>
    <w:p w:rsidR="0037797C" w:rsidRDefault="00732EA5">
      <w:pPr>
        <w:pStyle w:val="Pa1"/>
        <w:numPr>
          <w:ilvl w:val="0"/>
          <w:numId w:val="7"/>
        </w:numPr>
      </w:pPr>
      <w:r>
        <w:rPr>
          <w:rStyle w:val="A9"/>
          <w:rFonts w:ascii="Times New Roman" w:hAnsi="Times New Roman" w:cs="Times New Roman"/>
          <w:sz w:val="12"/>
          <w:szCs w:val="12"/>
        </w:rPr>
        <w:t xml:space="preserve">EN 60704-2-13 -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Elektrické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spotřebiče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pr</w:t>
      </w:r>
      <w:r>
        <w:rPr>
          <w:rStyle w:val="A9"/>
          <w:rFonts w:ascii="Times New Roman" w:hAnsi="Times New Roman" w:cs="Times New Roman"/>
          <w:sz w:val="12"/>
          <w:szCs w:val="12"/>
        </w:rPr>
        <w:t xml:space="preserve">o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domácnost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a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podobné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účely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–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Zkušební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předpis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pro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určení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hluku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šířeného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vzduchem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-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Část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2-13: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Zvláštní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požadavky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na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sporákové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odsavače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par.</w:t>
      </w:r>
    </w:p>
    <w:p w:rsidR="0037797C" w:rsidRDefault="00732EA5">
      <w:pPr>
        <w:pStyle w:val="Pa1"/>
        <w:numPr>
          <w:ilvl w:val="0"/>
          <w:numId w:val="7"/>
        </w:numPr>
      </w:pPr>
      <w:r>
        <w:rPr>
          <w:rStyle w:val="A9"/>
          <w:rFonts w:ascii="Times New Roman" w:hAnsi="Times New Roman" w:cs="Times New Roman"/>
          <w:sz w:val="12"/>
          <w:szCs w:val="12"/>
        </w:rPr>
        <w:t xml:space="preserve">EN 61591 -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Sporákové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odsavače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par pro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domácnost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a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jiné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odsavače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kuchyňských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par – Metody pro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měření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</w:rPr>
        <w:t>vlastností</w:t>
      </w:r>
      <w:proofErr w:type="spellEnd"/>
    </w:p>
    <w:p w:rsidR="0037797C" w:rsidRDefault="00732EA5">
      <w:pPr>
        <w:pStyle w:val="Standarduser"/>
        <w:numPr>
          <w:ilvl w:val="0"/>
          <w:numId w:val="7"/>
        </w:numPr>
      </w:pPr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EN 6</w:t>
      </w:r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1591:1997+A1:2006+A2:2011+A11:2014+A12:2015 p.12 -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Sporákové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odsavače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par pro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domácnost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a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jiné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odsavače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kuchyňských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par –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Metody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pro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měření</w:t>
      </w:r>
      <w:proofErr w:type="spellEnd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 xml:space="preserve"> </w:t>
      </w:r>
      <w:proofErr w:type="spellStart"/>
      <w:r>
        <w:rPr>
          <w:rStyle w:val="A9"/>
          <w:rFonts w:ascii="Times New Roman" w:hAnsi="Times New Roman" w:cs="Times New Roman"/>
          <w:sz w:val="12"/>
          <w:szCs w:val="12"/>
          <w:lang w:val="de-DE"/>
        </w:rPr>
        <w:t>vlastností</w:t>
      </w:r>
      <w:proofErr w:type="spellEnd"/>
    </w:p>
    <w:bookmarkEnd w:id="1"/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Pro </w:t>
      </w:r>
      <w:proofErr w:type="spellStart"/>
      <w:r>
        <w:rPr>
          <w:rFonts w:ascii="Times New Roman" w:hAnsi="Times New Roman"/>
          <w:sz w:val="12"/>
          <w:szCs w:val="12"/>
        </w:rPr>
        <w:t>minimalizaci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vlivu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používání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odsavače</w:t>
      </w:r>
      <w:proofErr w:type="spellEnd"/>
      <w:r>
        <w:rPr>
          <w:rFonts w:ascii="Times New Roman" w:hAnsi="Times New Roman"/>
          <w:sz w:val="12"/>
          <w:szCs w:val="12"/>
        </w:rPr>
        <w:t xml:space="preserve"> par na </w:t>
      </w:r>
      <w:proofErr w:type="spellStart"/>
      <w:r>
        <w:rPr>
          <w:rFonts w:ascii="Times New Roman" w:hAnsi="Times New Roman"/>
          <w:sz w:val="12"/>
          <w:szCs w:val="12"/>
        </w:rPr>
        <w:t>životní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prostředí</w:t>
      </w:r>
      <w:proofErr w:type="spellEnd"/>
      <w:r>
        <w:rPr>
          <w:rFonts w:ascii="Times New Roman" w:hAnsi="Times New Roman"/>
          <w:sz w:val="12"/>
          <w:szCs w:val="12"/>
        </w:rPr>
        <w:t xml:space="preserve"> je </w:t>
      </w:r>
      <w:proofErr w:type="spellStart"/>
      <w:r>
        <w:rPr>
          <w:rFonts w:ascii="Times New Roman" w:hAnsi="Times New Roman"/>
          <w:sz w:val="12"/>
          <w:szCs w:val="12"/>
        </w:rPr>
        <w:t>třeba</w:t>
      </w:r>
      <w:proofErr w:type="spellEnd"/>
      <w:r>
        <w:rPr>
          <w:rFonts w:ascii="Times New Roman" w:hAnsi="Times New Roman"/>
          <w:sz w:val="12"/>
          <w:szCs w:val="12"/>
        </w:rPr>
        <w:t>: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• </w:t>
      </w:r>
      <w:proofErr w:type="spellStart"/>
      <w:r>
        <w:rPr>
          <w:rFonts w:ascii="Times New Roman" w:hAnsi="Times New Roman"/>
          <w:sz w:val="12"/>
          <w:szCs w:val="12"/>
        </w:rPr>
        <w:t>používat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maximální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rychlost</w:t>
      </w:r>
      <w:proofErr w:type="spellEnd"/>
      <w:r>
        <w:rPr>
          <w:rFonts w:ascii="Times New Roman" w:hAnsi="Times New Roman"/>
          <w:sz w:val="12"/>
          <w:szCs w:val="12"/>
        </w:rPr>
        <w:t xml:space="preserve"> motoru </w:t>
      </w:r>
      <w:proofErr w:type="spellStart"/>
      <w:r>
        <w:rPr>
          <w:rFonts w:ascii="Times New Roman" w:hAnsi="Times New Roman"/>
          <w:sz w:val="12"/>
          <w:szCs w:val="12"/>
        </w:rPr>
        <w:t>ventilační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turbíny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pouze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při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intenzivním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vaření</w:t>
      </w:r>
      <w:proofErr w:type="spellEnd"/>
      <w:r>
        <w:rPr>
          <w:rFonts w:ascii="Times New Roman" w:hAnsi="Times New Roman"/>
          <w:sz w:val="12"/>
          <w:szCs w:val="12"/>
        </w:rPr>
        <w:t>,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• po </w:t>
      </w:r>
      <w:proofErr w:type="spellStart"/>
      <w:r>
        <w:rPr>
          <w:rFonts w:ascii="Times New Roman" w:hAnsi="Times New Roman"/>
          <w:sz w:val="12"/>
          <w:szCs w:val="12"/>
        </w:rPr>
        <w:t>ukončeném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vaření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vypnout</w:t>
      </w:r>
      <w:proofErr w:type="spellEnd"/>
      <w:r>
        <w:rPr>
          <w:rFonts w:ascii="Times New Roman" w:hAnsi="Times New Roman"/>
          <w:sz w:val="12"/>
          <w:szCs w:val="12"/>
        </w:rPr>
        <w:t xml:space="preserve"> motor </w:t>
      </w:r>
      <w:proofErr w:type="spellStart"/>
      <w:r>
        <w:rPr>
          <w:rFonts w:ascii="Times New Roman" w:hAnsi="Times New Roman"/>
          <w:sz w:val="12"/>
          <w:szCs w:val="12"/>
        </w:rPr>
        <w:t>ventilační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turbíny</w:t>
      </w:r>
      <w:proofErr w:type="spellEnd"/>
      <w:r>
        <w:rPr>
          <w:rFonts w:ascii="Times New Roman" w:hAnsi="Times New Roman"/>
          <w:sz w:val="12"/>
          <w:szCs w:val="12"/>
        </w:rPr>
        <w:t>,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• po </w:t>
      </w:r>
      <w:proofErr w:type="spellStart"/>
      <w:r>
        <w:rPr>
          <w:rFonts w:ascii="Times New Roman" w:hAnsi="Times New Roman"/>
          <w:sz w:val="12"/>
          <w:szCs w:val="12"/>
        </w:rPr>
        <w:t>ukončeném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používání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odsavače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vypnout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osvětlení</w:t>
      </w:r>
      <w:proofErr w:type="spellEnd"/>
      <w:r>
        <w:rPr>
          <w:rFonts w:ascii="Times New Roman" w:hAnsi="Times New Roman"/>
          <w:sz w:val="12"/>
          <w:szCs w:val="12"/>
        </w:rPr>
        <w:t>.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proofErr w:type="spellStart"/>
      <w:r>
        <w:rPr>
          <w:rFonts w:ascii="Times New Roman" w:hAnsi="Times New Roman"/>
          <w:sz w:val="12"/>
          <w:szCs w:val="12"/>
        </w:rPr>
        <w:t>Údaje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uvedené</w:t>
      </w:r>
      <w:proofErr w:type="spellEnd"/>
      <w:r>
        <w:rPr>
          <w:rFonts w:ascii="Times New Roman" w:hAnsi="Times New Roman"/>
          <w:sz w:val="12"/>
          <w:szCs w:val="12"/>
        </w:rPr>
        <w:t xml:space="preserve"> v </w:t>
      </w:r>
      <w:proofErr w:type="spellStart"/>
      <w:r>
        <w:rPr>
          <w:rFonts w:ascii="Times New Roman" w:hAnsi="Times New Roman"/>
          <w:sz w:val="12"/>
          <w:szCs w:val="12"/>
        </w:rPr>
        <w:t>informačním</w:t>
      </w:r>
      <w:proofErr w:type="spellEnd"/>
      <w:r>
        <w:rPr>
          <w:rFonts w:ascii="Times New Roman" w:hAnsi="Times New Roman"/>
          <w:sz w:val="12"/>
          <w:szCs w:val="12"/>
        </w:rPr>
        <w:t xml:space="preserve"> listu </w:t>
      </w:r>
      <w:proofErr w:type="spellStart"/>
      <w:r>
        <w:rPr>
          <w:rFonts w:ascii="Times New Roman" w:hAnsi="Times New Roman"/>
          <w:sz w:val="12"/>
          <w:szCs w:val="12"/>
        </w:rPr>
        <w:t>výrobku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byly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získány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měřením</w:t>
      </w:r>
      <w:proofErr w:type="spellEnd"/>
      <w:r>
        <w:rPr>
          <w:rFonts w:ascii="Times New Roman" w:hAnsi="Times New Roman"/>
          <w:sz w:val="12"/>
          <w:szCs w:val="12"/>
        </w:rPr>
        <w:t xml:space="preserve"> na </w:t>
      </w:r>
      <w:proofErr w:type="spellStart"/>
      <w:r>
        <w:rPr>
          <w:rFonts w:ascii="Times New Roman" w:hAnsi="Times New Roman"/>
          <w:sz w:val="12"/>
          <w:szCs w:val="12"/>
        </w:rPr>
        <w:t>odsavači</w:t>
      </w:r>
      <w:proofErr w:type="spellEnd"/>
      <w:r>
        <w:rPr>
          <w:rFonts w:ascii="Times New Roman" w:hAnsi="Times New Roman"/>
          <w:sz w:val="12"/>
          <w:szCs w:val="12"/>
        </w:rPr>
        <w:t xml:space="preserve"> v </w:t>
      </w:r>
      <w:proofErr w:type="spellStart"/>
      <w:r>
        <w:rPr>
          <w:rFonts w:ascii="Times New Roman" w:hAnsi="Times New Roman"/>
          <w:sz w:val="12"/>
          <w:szCs w:val="12"/>
        </w:rPr>
        <w:t>pra</w:t>
      </w:r>
      <w:r>
        <w:rPr>
          <w:rFonts w:ascii="Times New Roman" w:hAnsi="Times New Roman"/>
          <w:sz w:val="12"/>
          <w:szCs w:val="12"/>
        </w:rPr>
        <w:t>covní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pozici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následujícími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měřicími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stanicemi</w:t>
      </w:r>
      <w:proofErr w:type="spellEnd"/>
      <w:r>
        <w:rPr>
          <w:rFonts w:ascii="Times New Roman" w:hAnsi="Times New Roman"/>
          <w:sz w:val="12"/>
          <w:szCs w:val="12"/>
        </w:rPr>
        <w:t>: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MĚŘENÍ A VÝPOČET VÝKONU: </w:t>
      </w:r>
      <w:proofErr w:type="spellStart"/>
      <w:r>
        <w:rPr>
          <w:rFonts w:ascii="Times New Roman" w:hAnsi="Times New Roman"/>
          <w:sz w:val="12"/>
          <w:szCs w:val="12"/>
        </w:rPr>
        <w:t>Výrobce</w:t>
      </w:r>
      <w:proofErr w:type="spellEnd"/>
      <w:r>
        <w:rPr>
          <w:rFonts w:ascii="Times New Roman" w:hAnsi="Times New Roman"/>
          <w:sz w:val="12"/>
          <w:szCs w:val="12"/>
        </w:rPr>
        <w:t>: TRE P ENGINEERING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Typ: </w:t>
      </w:r>
      <w:proofErr w:type="spellStart"/>
      <w:r>
        <w:rPr>
          <w:rFonts w:ascii="Times New Roman" w:hAnsi="Times New Roman"/>
          <w:sz w:val="12"/>
          <w:szCs w:val="12"/>
        </w:rPr>
        <w:t>AirFlow</w:t>
      </w:r>
      <w:proofErr w:type="spellEnd"/>
      <w:r>
        <w:rPr>
          <w:rFonts w:ascii="Times New Roman" w:hAnsi="Times New Roman"/>
          <w:sz w:val="12"/>
          <w:szCs w:val="12"/>
        </w:rPr>
        <w:t xml:space="preserve"> TB </w:t>
      </w:r>
      <w:proofErr w:type="spellStart"/>
      <w:r>
        <w:rPr>
          <w:rFonts w:ascii="Times New Roman" w:hAnsi="Times New Roman"/>
          <w:sz w:val="12"/>
          <w:szCs w:val="12"/>
        </w:rPr>
        <w:t>Číslo</w:t>
      </w:r>
      <w:proofErr w:type="spellEnd"/>
      <w:r>
        <w:rPr>
          <w:rFonts w:ascii="Times New Roman" w:hAnsi="Times New Roman"/>
          <w:sz w:val="12"/>
          <w:szCs w:val="12"/>
        </w:rPr>
        <w:t>: BP 067.2020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MĚŘENÍ ÚČINNOSTI OSVĚTLENÍ: </w:t>
      </w:r>
      <w:proofErr w:type="spellStart"/>
      <w:r>
        <w:rPr>
          <w:rFonts w:ascii="Times New Roman" w:hAnsi="Times New Roman"/>
          <w:sz w:val="12"/>
          <w:szCs w:val="12"/>
        </w:rPr>
        <w:t>Luxmetr</w:t>
      </w:r>
      <w:proofErr w:type="spellEnd"/>
      <w:r>
        <w:rPr>
          <w:rFonts w:ascii="Times New Roman" w:hAnsi="Times New Roman"/>
          <w:sz w:val="12"/>
          <w:szCs w:val="12"/>
        </w:rPr>
        <w:t xml:space="preserve"> L-100 s </w:t>
      </w:r>
      <w:proofErr w:type="spellStart"/>
      <w:r>
        <w:rPr>
          <w:rFonts w:ascii="Times New Roman" w:hAnsi="Times New Roman"/>
          <w:sz w:val="12"/>
          <w:szCs w:val="12"/>
        </w:rPr>
        <w:t>externí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měřicí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hlavicí</w:t>
      </w:r>
      <w:proofErr w:type="spellEnd"/>
      <w:r>
        <w:rPr>
          <w:rFonts w:ascii="Times New Roman" w:hAnsi="Times New Roman"/>
          <w:sz w:val="12"/>
          <w:szCs w:val="12"/>
        </w:rPr>
        <w:t xml:space="preserve"> G.L-100 od </w:t>
      </w:r>
      <w:proofErr w:type="spellStart"/>
      <w:r>
        <w:rPr>
          <w:rFonts w:ascii="Times New Roman" w:hAnsi="Times New Roman"/>
          <w:sz w:val="12"/>
          <w:szCs w:val="12"/>
        </w:rPr>
        <w:t>společnosti</w:t>
      </w:r>
      <w:proofErr w:type="spellEnd"/>
      <w:r>
        <w:rPr>
          <w:rFonts w:ascii="Times New Roman" w:hAnsi="Times New Roman"/>
          <w:sz w:val="12"/>
          <w:szCs w:val="12"/>
        </w:rPr>
        <w:t xml:space="preserve"> SONOPAN č. 741/2014 RP T 196</w:t>
      </w:r>
      <w:r>
        <w:rPr>
          <w:rFonts w:ascii="Times New Roman" w:hAnsi="Times New Roman"/>
          <w:sz w:val="12"/>
          <w:szCs w:val="12"/>
        </w:rPr>
        <w:t xml:space="preserve">, </w:t>
      </w:r>
      <w:proofErr w:type="spellStart"/>
      <w:r>
        <w:rPr>
          <w:rFonts w:ascii="Times New Roman" w:hAnsi="Times New Roman"/>
          <w:sz w:val="12"/>
          <w:szCs w:val="12"/>
        </w:rPr>
        <w:t>měřič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výkonu</w:t>
      </w:r>
      <w:proofErr w:type="spellEnd"/>
      <w:r>
        <w:rPr>
          <w:rFonts w:ascii="Times New Roman" w:hAnsi="Times New Roman"/>
          <w:sz w:val="12"/>
          <w:szCs w:val="12"/>
        </w:rPr>
        <w:t xml:space="preserve"> typ HM8115-2 od </w:t>
      </w:r>
      <w:proofErr w:type="spellStart"/>
      <w:r>
        <w:rPr>
          <w:rFonts w:ascii="Times New Roman" w:hAnsi="Times New Roman"/>
          <w:sz w:val="12"/>
          <w:szCs w:val="12"/>
        </w:rPr>
        <w:t>společnosti</w:t>
      </w:r>
      <w:proofErr w:type="spellEnd"/>
      <w:r>
        <w:rPr>
          <w:rFonts w:ascii="Times New Roman" w:hAnsi="Times New Roman"/>
          <w:sz w:val="12"/>
          <w:szCs w:val="12"/>
        </w:rPr>
        <w:t xml:space="preserve"> HAMEG INSTRUMENTS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- MĚŘENÍ AKUSTICKÉHO VÝKONU: </w:t>
      </w:r>
      <w:proofErr w:type="spellStart"/>
      <w:r>
        <w:rPr>
          <w:rFonts w:ascii="Times New Roman" w:hAnsi="Times New Roman"/>
          <w:sz w:val="12"/>
          <w:szCs w:val="12"/>
        </w:rPr>
        <w:t>Měřidlo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úrovně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hluku</w:t>
      </w:r>
      <w:proofErr w:type="spellEnd"/>
      <w:r>
        <w:rPr>
          <w:rFonts w:ascii="Times New Roman" w:hAnsi="Times New Roman"/>
          <w:sz w:val="12"/>
          <w:szCs w:val="12"/>
        </w:rPr>
        <w:t xml:space="preserve"> Typ: DSA-50 (Digital Sound Analyzer - </w:t>
      </w:r>
      <w:proofErr w:type="spellStart"/>
      <w:r>
        <w:rPr>
          <w:rFonts w:ascii="Times New Roman" w:hAnsi="Times New Roman"/>
          <w:sz w:val="12"/>
          <w:szCs w:val="12"/>
        </w:rPr>
        <w:t>digitální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analyzér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zvuku</w:t>
      </w:r>
      <w:proofErr w:type="spellEnd"/>
      <w:r>
        <w:rPr>
          <w:rFonts w:ascii="Times New Roman" w:hAnsi="Times New Roman"/>
          <w:sz w:val="12"/>
          <w:szCs w:val="12"/>
        </w:rPr>
        <w:t xml:space="preserve">) </w:t>
      </w:r>
      <w:proofErr w:type="spellStart"/>
      <w:r>
        <w:rPr>
          <w:rFonts w:ascii="Times New Roman" w:hAnsi="Times New Roman"/>
          <w:sz w:val="12"/>
          <w:szCs w:val="12"/>
        </w:rPr>
        <w:t>Výrobce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</w:t>
      </w:r>
      <w:proofErr w:type="spellStart"/>
      <w:r>
        <w:rPr>
          <w:rFonts w:ascii="Times New Roman" w:hAnsi="Times New Roman"/>
          <w:sz w:val="12"/>
          <w:szCs w:val="12"/>
        </w:rPr>
        <w:t>Sériové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číslo</w:t>
      </w:r>
      <w:proofErr w:type="spellEnd"/>
      <w:r>
        <w:rPr>
          <w:rFonts w:ascii="Times New Roman" w:hAnsi="Times New Roman"/>
          <w:sz w:val="12"/>
          <w:szCs w:val="12"/>
        </w:rPr>
        <w:t>: 553/2019</w:t>
      </w:r>
    </w:p>
    <w:p w:rsidR="0037797C" w:rsidRDefault="00732EA5">
      <w:pPr>
        <w:pStyle w:val="Heading"/>
        <w:jc w:val="both"/>
        <w:rPr>
          <w:rFonts w:ascii="Times New Roman" w:hAnsi="Times New Roman"/>
          <w:sz w:val="12"/>
          <w:szCs w:val="12"/>
        </w:rPr>
      </w:pPr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Multiplexor</w:t>
      </w:r>
      <w:proofErr w:type="spellEnd"/>
      <w:r>
        <w:rPr>
          <w:rFonts w:ascii="Times New Roman" w:hAnsi="Times New Roman"/>
          <w:sz w:val="12"/>
          <w:szCs w:val="12"/>
        </w:rPr>
        <w:t xml:space="preserve"> Typ: MPL-19 </w:t>
      </w:r>
      <w:proofErr w:type="spellStart"/>
      <w:r>
        <w:rPr>
          <w:rFonts w:ascii="Times New Roman" w:hAnsi="Times New Roman"/>
          <w:sz w:val="12"/>
          <w:szCs w:val="12"/>
        </w:rPr>
        <w:t>Výro</w:t>
      </w:r>
      <w:r>
        <w:rPr>
          <w:rFonts w:ascii="Times New Roman" w:hAnsi="Times New Roman"/>
          <w:sz w:val="12"/>
          <w:szCs w:val="12"/>
        </w:rPr>
        <w:t>bce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</w:t>
      </w:r>
      <w:proofErr w:type="spellStart"/>
      <w:r>
        <w:rPr>
          <w:rFonts w:ascii="Times New Roman" w:hAnsi="Times New Roman"/>
          <w:sz w:val="12"/>
          <w:szCs w:val="12"/>
        </w:rPr>
        <w:t>Sériové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číslo</w:t>
      </w:r>
      <w:proofErr w:type="spellEnd"/>
      <w:r>
        <w:rPr>
          <w:rFonts w:ascii="Times New Roman" w:hAnsi="Times New Roman"/>
          <w:sz w:val="12"/>
          <w:szCs w:val="12"/>
        </w:rPr>
        <w:t xml:space="preserve">: 11/2019 </w:t>
      </w:r>
      <w:proofErr w:type="spellStart"/>
      <w:r>
        <w:rPr>
          <w:rFonts w:ascii="Times New Roman" w:hAnsi="Times New Roman"/>
          <w:sz w:val="12"/>
          <w:szCs w:val="12"/>
        </w:rPr>
        <w:t>Akustický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kalibrátor</w:t>
      </w:r>
      <w:proofErr w:type="spellEnd"/>
      <w:r>
        <w:rPr>
          <w:rFonts w:ascii="Times New Roman" w:hAnsi="Times New Roman"/>
          <w:sz w:val="12"/>
          <w:szCs w:val="12"/>
        </w:rPr>
        <w:t xml:space="preserve">: Typ: KA-50 </w:t>
      </w:r>
      <w:proofErr w:type="spellStart"/>
      <w:r>
        <w:rPr>
          <w:rFonts w:ascii="Times New Roman" w:hAnsi="Times New Roman"/>
          <w:sz w:val="12"/>
          <w:szCs w:val="12"/>
        </w:rPr>
        <w:t>Výrobce</w:t>
      </w:r>
      <w:proofErr w:type="spellEnd"/>
      <w:r>
        <w:rPr>
          <w:rFonts w:ascii="Times New Roman" w:hAnsi="Times New Roman"/>
          <w:sz w:val="12"/>
          <w:szCs w:val="12"/>
        </w:rPr>
        <w:t xml:space="preserve">: SONOPAN Sp. z o.o. </w:t>
      </w:r>
      <w:proofErr w:type="spellStart"/>
      <w:r>
        <w:rPr>
          <w:rFonts w:ascii="Times New Roman" w:hAnsi="Times New Roman"/>
          <w:sz w:val="12"/>
          <w:szCs w:val="12"/>
        </w:rPr>
        <w:t>Sériové</w:t>
      </w:r>
      <w:proofErr w:type="spellEnd"/>
      <w:r>
        <w:rPr>
          <w:rFonts w:ascii="Times New Roman" w:hAnsi="Times New Roman"/>
          <w:sz w:val="12"/>
          <w:szCs w:val="12"/>
        </w:rPr>
        <w:t xml:space="preserve"> </w:t>
      </w:r>
      <w:proofErr w:type="spellStart"/>
      <w:r>
        <w:rPr>
          <w:rFonts w:ascii="Times New Roman" w:hAnsi="Times New Roman"/>
          <w:sz w:val="12"/>
          <w:szCs w:val="12"/>
        </w:rPr>
        <w:t>číslo</w:t>
      </w:r>
      <w:proofErr w:type="spellEnd"/>
      <w:r>
        <w:rPr>
          <w:rFonts w:ascii="Times New Roman" w:hAnsi="Times New Roman"/>
          <w:sz w:val="12"/>
          <w:szCs w:val="12"/>
        </w:rPr>
        <w:t>: 585/2019</w:t>
      </w:r>
    </w:p>
    <w:p w:rsidR="0037797C" w:rsidRDefault="00732EA5">
      <w:pPr>
        <w:pStyle w:val="Heading"/>
        <w:jc w:val="both"/>
      </w:pPr>
      <w:r>
        <w:rPr>
          <w:rFonts w:ascii="Times New Roman" w:hAnsi="Times New Roman"/>
          <w:sz w:val="12"/>
          <w:szCs w:val="12"/>
        </w:rPr>
        <w:t xml:space="preserve">- MĚŘENÍ ÚČINNOSTI POHLCOVÁNÍ NEČISTOT: </w:t>
      </w:r>
      <w:proofErr w:type="spellStart"/>
      <w:r>
        <w:rPr>
          <w:rFonts w:ascii="Times New Roman" w:hAnsi="Times New Roman"/>
          <w:sz w:val="12"/>
          <w:szCs w:val="12"/>
        </w:rPr>
        <w:t>Výrobce</w:t>
      </w:r>
      <w:proofErr w:type="spellEnd"/>
      <w:r>
        <w:rPr>
          <w:rFonts w:ascii="Times New Roman" w:hAnsi="Times New Roman"/>
          <w:sz w:val="12"/>
          <w:szCs w:val="12"/>
        </w:rPr>
        <w:t xml:space="preserve">: TRE P ENGINEERING Typ: B.GRASSI </w:t>
      </w:r>
      <w:proofErr w:type="spellStart"/>
      <w:r>
        <w:rPr>
          <w:rFonts w:ascii="Times New Roman" w:hAnsi="Times New Roman"/>
          <w:sz w:val="12"/>
          <w:szCs w:val="12"/>
        </w:rPr>
        <w:t>Číslo</w:t>
      </w:r>
      <w:proofErr w:type="spellEnd"/>
      <w:r>
        <w:rPr>
          <w:rFonts w:ascii="Times New Roman" w:hAnsi="Times New Roman"/>
          <w:sz w:val="12"/>
          <w:szCs w:val="12"/>
        </w:rPr>
        <w:t>: BAG 060.2018</w:t>
      </w:r>
    </w:p>
    <w:sectPr w:rsidR="0037797C">
      <w:headerReference w:type="default" r:id="rId7"/>
      <w:pgSz w:w="11906" w:h="16838"/>
      <w:pgMar w:top="567" w:right="567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2EA5" w:rsidRDefault="00732EA5">
      <w:r>
        <w:separator/>
      </w:r>
    </w:p>
  </w:endnote>
  <w:endnote w:type="continuationSeparator" w:id="0">
    <w:p w:rsidR="00732EA5" w:rsidRDefault="0073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Symbol"/>
    <w:charset w:val="00"/>
    <w:family w:val="auto"/>
    <w:pitch w:val="variable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, Arial">
    <w:charset w:val="00"/>
    <w:family w:val="swiss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2EA5" w:rsidRDefault="00732EA5">
      <w:r>
        <w:rPr>
          <w:color w:val="000000"/>
        </w:rPr>
        <w:separator/>
      </w:r>
    </w:p>
  </w:footnote>
  <w:footnote w:type="continuationSeparator" w:id="0">
    <w:p w:rsidR="00732EA5" w:rsidRDefault="00732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553" w:rsidRDefault="00732EA5">
    <w:pPr>
      <w:pStyle w:val="Heading"/>
      <w:tabs>
        <w:tab w:val="center" w:pos="6690"/>
        <w:tab w:val="right" w:pos="11509"/>
      </w:tabs>
      <w:ind w:left="1871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20875</wp:posOffset>
          </wp:positionH>
          <wp:positionV relativeFrom="paragraph">
            <wp:posOffset>3959</wp:posOffset>
          </wp:positionV>
          <wp:extent cx="1047600" cy="292681"/>
          <wp:effectExtent l="0" t="0" r="150" b="0"/>
          <wp:wrapSquare wrapText="bothSides"/>
          <wp:docPr id="1" name="Obraz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7600" cy="2926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sz w:val="20"/>
        <w:szCs w:val="20"/>
      </w:rPr>
      <w:t>PPH AKPO Cegiełkowski Niedzielska spółka jawna</w:t>
    </w:r>
  </w:p>
  <w:p w:rsidR="00415553" w:rsidRDefault="00732EA5">
    <w:pPr>
      <w:pStyle w:val="Heading"/>
      <w:tabs>
        <w:tab w:val="center" w:pos="6690"/>
        <w:tab w:val="right" w:pos="11509"/>
      </w:tabs>
      <w:ind w:left="1871"/>
      <w:rPr>
        <w:b/>
        <w:bCs/>
        <w:sz w:val="20"/>
        <w:szCs w:val="20"/>
      </w:rPr>
    </w:pPr>
    <w:r>
      <w:rPr>
        <w:b/>
        <w:bCs/>
        <w:sz w:val="20"/>
        <w:szCs w:val="20"/>
      </w:rPr>
      <w:t>05-080 Laski, ul. Łąkowa 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67E05"/>
    <w:multiLevelType w:val="multilevel"/>
    <w:tmpl w:val="ABD8182A"/>
    <w:styleLink w:val="WWNum5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38BC55EB"/>
    <w:multiLevelType w:val="multilevel"/>
    <w:tmpl w:val="C8E0E2C6"/>
    <w:styleLink w:val="WWNum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3B626C98"/>
    <w:multiLevelType w:val="multilevel"/>
    <w:tmpl w:val="BF1C0C26"/>
    <w:styleLink w:val="WWNum3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 w15:restartNumberingAfterBreak="0">
    <w:nsid w:val="3FFA0FEC"/>
    <w:multiLevelType w:val="multilevel"/>
    <w:tmpl w:val="FE8A9616"/>
    <w:styleLink w:val="WWNum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434F6D8A"/>
    <w:multiLevelType w:val="multilevel"/>
    <w:tmpl w:val="219254C2"/>
    <w:styleLink w:val="WWNum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760453A2"/>
    <w:multiLevelType w:val="multilevel"/>
    <w:tmpl w:val="5AB8B0DE"/>
    <w:styleLink w:val="WWNum7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7FDA2556"/>
    <w:multiLevelType w:val="multilevel"/>
    <w:tmpl w:val="018A51C6"/>
    <w:styleLink w:val="WWNum1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  <w:sz w:val="20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2"/>
    <w:lvlOverride w:ilvl="0"/>
  </w:num>
  <w:num w:numId="9">
    <w:abstractNumId w:val="1"/>
    <w:lvlOverride w:ilvl="0"/>
  </w:num>
  <w:num w:numId="10">
    <w:abstractNumId w:val="0"/>
    <w:lvlOverride w:ilvl="0"/>
  </w:num>
  <w:num w:numId="11">
    <w:abstractNumId w:val="5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37797C"/>
    <w:rsid w:val="0037797C"/>
    <w:rsid w:val="00732EA5"/>
    <w:rsid w:val="00A3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0DCD7-CE60-4DDD-B109-9099F156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egoe UI" w:hAnsi="Liberation Serif" w:cs="Tahoma"/>
        <w:kern w:val="3"/>
        <w:sz w:val="24"/>
        <w:szCs w:val="24"/>
        <w:lang w:val="pl-PL" w:eastAsia="pl-PL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Heading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HeaderandFooter"/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Pa0">
    <w:name w:val="Pa0"/>
    <w:pPr>
      <w:suppressAutoHyphens/>
      <w:spacing w:line="241" w:lineRule="atLeast"/>
    </w:pPr>
  </w:style>
  <w:style w:type="paragraph" w:customStyle="1" w:styleId="Pa3">
    <w:name w:val="Pa3"/>
    <w:pPr>
      <w:suppressAutoHyphens/>
      <w:spacing w:line="191" w:lineRule="atLeast"/>
    </w:pPr>
  </w:style>
  <w:style w:type="paragraph" w:customStyle="1" w:styleId="Pa1">
    <w:name w:val="Pa1"/>
    <w:pPr>
      <w:suppressAutoHyphens/>
      <w:spacing w:line="241" w:lineRule="atLeast"/>
    </w:pPr>
  </w:style>
  <w:style w:type="paragraph" w:customStyle="1" w:styleId="DocumentMap">
    <w:name w:val="DocumentMap"/>
    <w:rPr>
      <w:rFonts w:cs="Liberation Serif"/>
    </w:rPr>
  </w:style>
  <w:style w:type="paragraph" w:customStyle="1" w:styleId="Standarduser">
    <w:name w:val="Standard (user)"/>
    <w:pPr>
      <w:suppressAutoHyphens/>
    </w:pPr>
    <w:rPr>
      <w:rFonts w:cs="Liberation Serif"/>
    </w:rPr>
  </w:style>
  <w:style w:type="paragraph" w:customStyle="1" w:styleId="Textbodyuser">
    <w:name w:val="Text body (user)"/>
    <w:basedOn w:val="Standarduser"/>
    <w:pPr>
      <w:spacing w:after="140" w:line="288" w:lineRule="auto"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Nagwek">
    <w:name w:val="header"/>
    <w:basedOn w:val="HeaderandFooter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BulletSymbols">
    <w:name w:val="Bullet Symbols"/>
    <w:rPr>
      <w:rFonts w:ascii="OpenSymbol" w:eastAsia="OpenSymbol" w:hAnsi="OpenSymbol" w:cs="OpenSymbol"/>
      <w:b w:val="0"/>
      <w:bCs w:val="0"/>
    </w:rPr>
  </w:style>
  <w:style w:type="character" w:customStyle="1" w:styleId="A4">
    <w:name w:val="A4"/>
    <w:basedOn w:val="Default"/>
    <w:rPr>
      <w:rFonts w:ascii="Arial, Arial" w:eastAsia="Arial, Arial" w:hAnsi="Arial, Arial" w:cs="Arial, Arial"/>
      <w:color w:val="000000"/>
      <w:sz w:val="14"/>
      <w:szCs w:val="14"/>
    </w:rPr>
  </w:style>
  <w:style w:type="character" w:customStyle="1" w:styleId="Default">
    <w:name w:val="Default"/>
    <w:rPr>
      <w:rFonts w:ascii="Arial, Arial" w:eastAsia="Arial, Arial" w:hAnsi="Arial, Arial" w:cs="Arial, Arial"/>
      <w:color w:val="000000"/>
      <w:sz w:val="24"/>
      <w:szCs w:val="24"/>
    </w:rPr>
  </w:style>
  <w:style w:type="character" w:customStyle="1" w:styleId="A5">
    <w:name w:val="A5"/>
    <w:basedOn w:val="Default"/>
    <w:rPr>
      <w:rFonts w:ascii="Arial, Arial" w:eastAsia="Arial, Arial" w:hAnsi="Arial, Arial" w:cs="Arial, Arial"/>
      <w:color w:val="000000"/>
      <w:sz w:val="8"/>
      <w:szCs w:val="8"/>
    </w:rPr>
  </w:style>
  <w:style w:type="character" w:customStyle="1" w:styleId="A6">
    <w:name w:val="A6"/>
    <w:basedOn w:val="Default"/>
    <w:rPr>
      <w:rFonts w:ascii="Arial, Arial" w:eastAsia="Arial, Arial" w:hAnsi="Arial, Arial" w:cs="Arial, Arial"/>
      <w:color w:val="000000"/>
      <w:sz w:val="8"/>
      <w:szCs w:val="8"/>
    </w:rPr>
  </w:style>
  <w:style w:type="character" w:customStyle="1" w:styleId="A7">
    <w:name w:val="A7"/>
    <w:basedOn w:val="Default"/>
    <w:rPr>
      <w:rFonts w:ascii="Arial, Arial" w:eastAsia="Arial, Arial" w:hAnsi="Arial, Arial" w:cs="Arial, Arial"/>
      <w:color w:val="000000"/>
      <w:sz w:val="13"/>
      <w:szCs w:val="13"/>
    </w:rPr>
  </w:style>
  <w:style w:type="character" w:customStyle="1" w:styleId="A11">
    <w:name w:val="A11"/>
    <w:basedOn w:val="Default"/>
    <w:rPr>
      <w:rFonts w:ascii="Arial, Arial" w:eastAsia="Arial, Arial" w:hAnsi="Arial, Arial" w:cs="Arial, Arial"/>
      <w:color w:val="000000"/>
      <w:sz w:val="13"/>
      <w:szCs w:val="13"/>
    </w:rPr>
  </w:style>
  <w:style w:type="character" w:customStyle="1" w:styleId="A3">
    <w:name w:val="A3"/>
    <w:basedOn w:val="Default"/>
    <w:rPr>
      <w:rFonts w:ascii="Arial, Arial" w:eastAsia="Arial, Arial" w:hAnsi="Arial, Arial" w:cs="Arial, Arial"/>
      <w:b/>
      <w:bCs/>
      <w:color w:val="000000"/>
      <w:sz w:val="23"/>
      <w:szCs w:val="23"/>
    </w:rPr>
  </w:style>
  <w:style w:type="character" w:customStyle="1" w:styleId="A9">
    <w:name w:val="A9"/>
    <w:basedOn w:val="Default"/>
    <w:rPr>
      <w:rFonts w:ascii="Arial, Arial" w:eastAsia="Arial, Arial" w:hAnsi="Arial, Arial" w:cs="Arial, Arial"/>
      <w:color w:val="000000"/>
      <w:sz w:val="16"/>
      <w:szCs w:val="16"/>
    </w:rPr>
  </w:style>
  <w:style w:type="character" w:customStyle="1" w:styleId="NagwekZnak">
    <w:name w:val="Nagłówek Znak"/>
    <w:basedOn w:val="Domylnaczcionkaakapitu"/>
    <w:rPr>
      <w:rFonts w:cs="Times New Roman"/>
    </w:rPr>
  </w:style>
  <w:style w:type="character" w:customStyle="1" w:styleId="ListLabel1">
    <w:name w:val="ListLabel 1"/>
    <w:rPr>
      <w:rFonts w:ascii="Times New Roman" w:eastAsia="OpenSymbol" w:hAnsi="Times New Roman" w:cs="OpenSymbol"/>
      <w:sz w:val="20"/>
    </w:rPr>
  </w:style>
  <w:style w:type="character" w:customStyle="1" w:styleId="ListLabel2">
    <w:name w:val="ListLabel 2"/>
    <w:rPr>
      <w:rFonts w:eastAsia="OpenSymbol" w:cs="OpenSymbol"/>
    </w:rPr>
  </w:style>
  <w:style w:type="character" w:customStyle="1" w:styleId="ListLabel3">
    <w:name w:val="ListLabel 3"/>
    <w:rPr>
      <w:rFonts w:eastAsia="OpenSymbol" w:cs="OpenSymbol"/>
    </w:rPr>
  </w:style>
  <w:style w:type="character" w:customStyle="1" w:styleId="ListLabel4">
    <w:name w:val="ListLabel 4"/>
    <w:rPr>
      <w:rFonts w:eastAsia="OpenSymbol" w:cs="OpenSymbol"/>
    </w:rPr>
  </w:style>
  <w:style w:type="character" w:customStyle="1" w:styleId="ListLabel5">
    <w:name w:val="ListLabel 5"/>
    <w:rPr>
      <w:rFonts w:eastAsia="OpenSymbol" w:cs="OpenSymbol"/>
    </w:rPr>
  </w:style>
  <w:style w:type="character" w:customStyle="1" w:styleId="ListLabel6">
    <w:name w:val="ListLabel 6"/>
    <w:rPr>
      <w:rFonts w:eastAsia="OpenSymbol" w:cs="OpenSymbol"/>
    </w:rPr>
  </w:style>
  <w:style w:type="character" w:customStyle="1" w:styleId="ListLabel7">
    <w:name w:val="ListLabel 7"/>
    <w:rPr>
      <w:rFonts w:eastAsia="OpenSymbol" w:cs="OpenSymbol"/>
    </w:rPr>
  </w:style>
  <w:style w:type="character" w:customStyle="1" w:styleId="ListLabel8">
    <w:name w:val="ListLabel 8"/>
    <w:rPr>
      <w:rFonts w:eastAsia="OpenSymbol" w:cs="OpenSymbol"/>
    </w:rPr>
  </w:style>
  <w:style w:type="character" w:customStyle="1" w:styleId="ListLabel9">
    <w:name w:val="ListLabel 9"/>
    <w:rPr>
      <w:rFonts w:eastAsia="OpenSymbol" w:cs="OpenSymbol"/>
    </w:rPr>
  </w:style>
  <w:style w:type="character" w:customStyle="1" w:styleId="ListLabel10">
    <w:name w:val="ListLabel 10"/>
    <w:rPr>
      <w:rFonts w:ascii="Times New Roman" w:eastAsia="OpenSymbol" w:hAnsi="Times New Roman" w:cs="OpenSymbol"/>
      <w:sz w:val="20"/>
    </w:rPr>
  </w:style>
  <w:style w:type="character" w:customStyle="1" w:styleId="ListLabel11">
    <w:name w:val="ListLabel 11"/>
    <w:rPr>
      <w:rFonts w:eastAsia="OpenSymbol" w:cs="OpenSymbol"/>
    </w:rPr>
  </w:style>
  <w:style w:type="character" w:customStyle="1" w:styleId="ListLabel12">
    <w:name w:val="ListLabel 12"/>
    <w:rPr>
      <w:rFonts w:eastAsia="OpenSymbol" w:cs="OpenSymbol"/>
    </w:rPr>
  </w:style>
  <w:style w:type="character" w:customStyle="1" w:styleId="ListLabel13">
    <w:name w:val="ListLabel 13"/>
    <w:rPr>
      <w:rFonts w:eastAsia="OpenSymbol" w:cs="OpenSymbol"/>
    </w:rPr>
  </w:style>
  <w:style w:type="character" w:customStyle="1" w:styleId="ListLabel14">
    <w:name w:val="ListLabel 14"/>
    <w:rPr>
      <w:rFonts w:eastAsia="OpenSymbol" w:cs="OpenSymbol"/>
    </w:rPr>
  </w:style>
  <w:style w:type="character" w:customStyle="1" w:styleId="ListLabel15">
    <w:name w:val="ListLabel 15"/>
    <w:rPr>
      <w:rFonts w:eastAsia="OpenSymbol" w:cs="OpenSymbol"/>
    </w:rPr>
  </w:style>
  <w:style w:type="character" w:customStyle="1" w:styleId="ListLabel16">
    <w:name w:val="ListLabel 16"/>
    <w:rPr>
      <w:rFonts w:eastAsia="OpenSymbol" w:cs="OpenSymbol"/>
    </w:rPr>
  </w:style>
  <w:style w:type="character" w:customStyle="1" w:styleId="ListLabel17">
    <w:name w:val="ListLabel 17"/>
    <w:rPr>
      <w:rFonts w:eastAsia="OpenSymbol" w:cs="OpenSymbol"/>
    </w:rPr>
  </w:style>
  <w:style w:type="character" w:customStyle="1" w:styleId="ListLabel18">
    <w:name w:val="ListLabel 18"/>
    <w:rPr>
      <w:rFonts w:eastAsia="OpenSymbol" w:cs="OpenSymbol"/>
    </w:rPr>
  </w:style>
  <w:style w:type="character" w:customStyle="1" w:styleId="ListLabel19">
    <w:name w:val="ListLabel 19"/>
    <w:rPr>
      <w:rFonts w:ascii="Times New Roman" w:eastAsia="OpenSymbol" w:hAnsi="Times New Roman" w:cs="OpenSymbol"/>
      <w:sz w:val="20"/>
    </w:rPr>
  </w:style>
  <w:style w:type="character" w:customStyle="1" w:styleId="ListLabel20">
    <w:name w:val="ListLabel 20"/>
    <w:rPr>
      <w:rFonts w:eastAsia="OpenSymbol" w:cs="OpenSymbol"/>
    </w:rPr>
  </w:style>
  <w:style w:type="character" w:customStyle="1" w:styleId="ListLabel21">
    <w:name w:val="ListLabel 21"/>
    <w:rPr>
      <w:rFonts w:eastAsia="OpenSymbol" w:cs="OpenSymbol"/>
    </w:rPr>
  </w:style>
  <w:style w:type="character" w:customStyle="1" w:styleId="ListLabel22">
    <w:name w:val="ListLabel 22"/>
    <w:rPr>
      <w:rFonts w:eastAsia="OpenSymbol" w:cs="OpenSymbol"/>
    </w:rPr>
  </w:style>
  <w:style w:type="character" w:customStyle="1" w:styleId="ListLabel23">
    <w:name w:val="ListLabel 23"/>
    <w:rPr>
      <w:rFonts w:eastAsia="OpenSymbol" w:cs="OpenSymbol"/>
    </w:rPr>
  </w:style>
  <w:style w:type="character" w:customStyle="1" w:styleId="ListLabel24">
    <w:name w:val="ListLabel 24"/>
    <w:rPr>
      <w:rFonts w:eastAsia="OpenSymbol" w:cs="OpenSymbol"/>
    </w:rPr>
  </w:style>
  <w:style w:type="character" w:customStyle="1" w:styleId="ListLabel25">
    <w:name w:val="ListLabel 25"/>
    <w:rPr>
      <w:rFonts w:eastAsia="OpenSymbol" w:cs="OpenSymbol"/>
    </w:rPr>
  </w:style>
  <w:style w:type="character" w:customStyle="1" w:styleId="ListLabel26">
    <w:name w:val="ListLabel 26"/>
    <w:rPr>
      <w:rFonts w:eastAsia="OpenSymbol" w:cs="OpenSymbol"/>
    </w:rPr>
  </w:style>
  <w:style w:type="character" w:customStyle="1" w:styleId="ListLabel27">
    <w:name w:val="ListLabel 27"/>
    <w:rPr>
      <w:rFonts w:eastAsia="OpenSymbol" w:cs="OpenSymbol"/>
    </w:rPr>
  </w:style>
  <w:style w:type="character" w:customStyle="1" w:styleId="ListLabel28">
    <w:name w:val="ListLabel 28"/>
    <w:rPr>
      <w:rFonts w:ascii="Times New Roman" w:eastAsia="OpenSymbol" w:hAnsi="Times New Roman" w:cs="OpenSymbol"/>
      <w:sz w:val="20"/>
    </w:rPr>
  </w:style>
  <w:style w:type="character" w:customStyle="1" w:styleId="ListLabel29">
    <w:name w:val="ListLabel 29"/>
    <w:rPr>
      <w:rFonts w:eastAsia="OpenSymbol" w:cs="OpenSymbol"/>
    </w:rPr>
  </w:style>
  <w:style w:type="character" w:customStyle="1" w:styleId="ListLabel30">
    <w:name w:val="ListLabel 30"/>
    <w:rPr>
      <w:rFonts w:eastAsia="OpenSymbol" w:cs="OpenSymbol"/>
    </w:rPr>
  </w:style>
  <w:style w:type="character" w:customStyle="1" w:styleId="ListLabel31">
    <w:name w:val="ListLabel 31"/>
    <w:rPr>
      <w:rFonts w:eastAsia="OpenSymbol" w:cs="OpenSymbol"/>
    </w:rPr>
  </w:style>
  <w:style w:type="character" w:customStyle="1" w:styleId="ListLabel32">
    <w:name w:val="ListLabel 32"/>
    <w:rPr>
      <w:rFonts w:eastAsia="OpenSymbol" w:cs="OpenSymbol"/>
    </w:rPr>
  </w:style>
  <w:style w:type="character" w:customStyle="1" w:styleId="ListLabel33">
    <w:name w:val="ListLabel 33"/>
    <w:rPr>
      <w:rFonts w:eastAsia="OpenSymbol" w:cs="OpenSymbol"/>
    </w:rPr>
  </w:style>
  <w:style w:type="character" w:customStyle="1" w:styleId="ListLabel34">
    <w:name w:val="ListLabel 34"/>
    <w:rPr>
      <w:rFonts w:eastAsia="OpenSymbol" w:cs="OpenSymbol"/>
    </w:rPr>
  </w:style>
  <w:style w:type="character" w:customStyle="1" w:styleId="ListLabel35">
    <w:name w:val="ListLabel 35"/>
    <w:rPr>
      <w:rFonts w:eastAsia="OpenSymbol" w:cs="OpenSymbol"/>
    </w:rPr>
  </w:style>
  <w:style w:type="character" w:customStyle="1" w:styleId="ListLabel36">
    <w:name w:val="ListLabel 36"/>
    <w:rPr>
      <w:rFonts w:eastAsia="OpenSymbol" w:cs="OpenSymbol"/>
    </w:rPr>
  </w:style>
  <w:style w:type="character" w:customStyle="1" w:styleId="ListLabel37">
    <w:name w:val="ListLabel 37"/>
    <w:rPr>
      <w:rFonts w:ascii="Times New Roman" w:eastAsia="OpenSymbol" w:hAnsi="Times New Roman" w:cs="OpenSymbol"/>
      <w:sz w:val="20"/>
    </w:rPr>
  </w:style>
  <w:style w:type="character" w:customStyle="1" w:styleId="ListLabel38">
    <w:name w:val="ListLabel 38"/>
    <w:rPr>
      <w:rFonts w:eastAsia="OpenSymbol" w:cs="OpenSymbol"/>
    </w:rPr>
  </w:style>
  <w:style w:type="character" w:customStyle="1" w:styleId="ListLabel39">
    <w:name w:val="ListLabel 39"/>
    <w:rPr>
      <w:rFonts w:eastAsia="OpenSymbol" w:cs="OpenSymbol"/>
    </w:rPr>
  </w:style>
  <w:style w:type="character" w:customStyle="1" w:styleId="ListLabel40">
    <w:name w:val="ListLabel 40"/>
    <w:rPr>
      <w:rFonts w:eastAsia="OpenSymbol" w:cs="OpenSymbol"/>
    </w:rPr>
  </w:style>
  <w:style w:type="character" w:customStyle="1" w:styleId="ListLabel41">
    <w:name w:val="ListLabel 41"/>
    <w:rPr>
      <w:rFonts w:eastAsia="OpenSymbol" w:cs="OpenSymbol"/>
    </w:rPr>
  </w:style>
  <w:style w:type="character" w:customStyle="1" w:styleId="ListLabel42">
    <w:name w:val="ListLabel 42"/>
    <w:rPr>
      <w:rFonts w:eastAsia="OpenSymbol" w:cs="OpenSymbol"/>
    </w:rPr>
  </w:style>
  <w:style w:type="character" w:customStyle="1" w:styleId="ListLabel43">
    <w:name w:val="ListLabel 43"/>
    <w:rPr>
      <w:rFonts w:eastAsia="OpenSymbol" w:cs="OpenSymbol"/>
    </w:rPr>
  </w:style>
  <w:style w:type="character" w:customStyle="1" w:styleId="ListLabel44">
    <w:name w:val="ListLabel 44"/>
    <w:rPr>
      <w:rFonts w:eastAsia="OpenSymbol" w:cs="OpenSymbol"/>
    </w:rPr>
  </w:style>
  <w:style w:type="character" w:customStyle="1" w:styleId="ListLabel45">
    <w:name w:val="ListLabel 45"/>
    <w:rPr>
      <w:rFonts w:eastAsia="OpenSymbol" w:cs="OpenSymbol"/>
    </w:rPr>
  </w:style>
  <w:style w:type="character" w:customStyle="1" w:styleId="ListLabel46">
    <w:name w:val="ListLabel 46"/>
    <w:rPr>
      <w:rFonts w:ascii="Times New Roman" w:eastAsia="OpenSymbol" w:hAnsi="Times New Roman" w:cs="OpenSymbol"/>
      <w:sz w:val="20"/>
    </w:rPr>
  </w:style>
  <w:style w:type="character" w:customStyle="1" w:styleId="ListLabel47">
    <w:name w:val="ListLabel 47"/>
    <w:rPr>
      <w:rFonts w:eastAsia="OpenSymbol" w:cs="OpenSymbol"/>
    </w:rPr>
  </w:style>
  <w:style w:type="character" w:customStyle="1" w:styleId="ListLabel48">
    <w:name w:val="ListLabel 48"/>
    <w:rPr>
      <w:rFonts w:eastAsia="OpenSymbol" w:cs="OpenSymbol"/>
    </w:rPr>
  </w:style>
  <w:style w:type="character" w:customStyle="1" w:styleId="ListLabel49">
    <w:name w:val="ListLabel 49"/>
    <w:rPr>
      <w:rFonts w:eastAsia="OpenSymbol" w:cs="OpenSymbol"/>
    </w:rPr>
  </w:style>
  <w:style w:type="character" w:customStyle="1" w:styleId="ListLabel50">
    <w:name w:val="ListLabel 50"/>
    <w:rPr>
      <w:rFonts w:eastAsia="OpenSymbol" w:cs="OpenSymbol"/>
    </w:rPr>
  </w:style>
  <w:style w:type="character" w:customStyle="1" w:styleId="ListLabel51">
    <w:name w:val="ListLabel 51"/>
    <w:rPr>
      <w:rFonts w:eastAsia="OpenSymbol" w:cs="OpenSymbol"/>
    </w:rPr>
  </w:style>
  <w:style w:type="character" w:customStyle="1" w:styleId="ListLabel52">
    <w:name w:val="ListLabel 52"/>
    <w:rPr>
      <w:rFonts w:eastAsia="OpenSymbol" w:cs="OpenSymbol"/>
    </w:rPr>
  </w:style>
  <w:style w:type="character" w:customStyle="1" w:styleId="ListLabel53">
    <w:name w:val="ListLabel 53"/>
    <w:rPr>
      <w:rFonts w:eastAsia="OpenSymbol" w:cs="OpenSymbol"/>
    </w:rPr>
  </w:style>
  <w:style w:type="character" w:customStyle="1" w:styleId="ListLabel54">
    <w:name w:val="ListLabel 54"/>
    <w:rPr>
      <w:rFonts w:eastAsia="OpenSymbol" w:cs="OpenSymbol"/>
    </w:rPr>
  </w:style>
  <w:style w:type="character" w:customStyle="1" w:styleId="ListLabel55">
    <w:name w:val="ListLabel 55"/>
    <w:rPr>
      <w:rFonts w:ascii="Times New Roman" w:eastAsia="OpenSymbol" w:hAnsi="Times New Roman" w:cs="OpenSymbol"/>
      <w:sz w:val="20"/>
    </w:rPr>
  </w:style>
  <w:style w:type="character" w:customStyle="1" w:styleId="ListLabel56">
    <w:name w:val="ListLabel 56"/>
    <w:rPr>
      <w:rFonts w:eastAsia="OpenSymbol" w:cs="OpenSymbol"/>
    </w:rPr>
  </w:style>
  <w:style w:type="character" w:customStyle="1" w:styleId="ListLabel57">
    <w:name w:val="ListLabel 57"/>
    <w:rPr>
      <w:rFonts w:eastAsia="OpenSymbol" w:cs="OpenSymbol"/>
    </w:rPr>
  </w:style>
  <w:style w:type="character" w:customStyle="1" w:styleId="ListLabel58">
    <w:name w:val="ListLabel 58"/>
    <w:rPr>
      <w:rFonts w:eastAsia="OpenSymbol" w:cs="OpenSymbol"/>
    </w:rPr>
  </w:style>
  <w:style w:type="character" w:customStyle="1" w:styleId="ListLabel59">
    <w:name w:val="ListLabel 59"/>
    <w:rPr>
      <w:rFonts w:eastAsia="OpenSymbol" w:cs="OpenSymbol"/>
    </w:rPr>
  </w:style>
  <w:style w:type="character" w:customStyle="1" w:styleId="ListLabel60">
    <w:name w:val="ListLabel 60"/>
    <w:rPr>
      <w:rFonts w:eastAsia="OpenSymbol" w:cs="OpenSymbol"/>
    </w:rPr>
  </w:style>
  <w:style w:type="character" w:customStyle="1" w:styleId="ListLabel61">
    <w:name w:val="ListLabel 61"/>
    <w:rPr>
      <w:rFonts w:eastAsia="OpenSymbol" w:cs="OpenSymbol"/>
    </w:rPr>
  </w:style>
  <w:style w:type="character" w:customStyle="1" w:styleId="ListLabel62">
    <w:name w:val="ListLabel 62"/>
    <w:rPr>
      <w:rFonts w:eastAsia="OpenSymbol" w:cs="OpenSymbol"/>
    </w:rPr>
  </w:style>
  <w:style w:type="character" w:customStyle="1" w:styleId="ListLabel63">
    <w:name w:val="ListLabel 63"/>
    <w:rPr>
      <w:rFonts w:eastAsia="OpenSymbol" w:cs="OpenSymbol"/>
    </w:rPr>
  </w:style>
  <w:style w:type="character" w:customStyle="1" w:styleId="NumberingSymbols">
    <w:name w:val="Numbering Symbols"/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1698</Words>
  <Characters>10191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Tyc Bartłomiej (Pion Sprzedaży Elektronicznej)</cp:lastModifiedBy>
  <cp:revision>2</cp:revision>
  <cp:lastPrinted>2015-04-22T16:20:00Z</cp:lastPrinted>
  <dcterms:created xsi:type="dcterms:W3CDTF">2024-02-02T09:27:00Z</dcterms:created>
  <dcterms:modified xsi:type="dcterms:W3CDTF">2024-02-02T09:27:00Z</dcterms:modified>
</cp:coreProperties>
</file>